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p>
    <w:p w:rsidR="00000000" w:rsidRDefault="007C27DE">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bookmarkStart w:id="1" w:name="co_document_1"/>
      <w:bookmarkStart w:id="2" w:name="Icce27f29d61111e2a555d241dae65084_Target"/>
      <w:bookmarkEnd w:id="1"/>
      <w:bookmarkEnd w:id="2"/>
    </w:p>
    <w:p w:rsidR="00000000" w:rsidRDefault="007C27D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293 F.R.D. 112</w:t>
      </w:r>
    </w:p>
    <w:p w:rsidR="00000000" w:rsidRDefault="007C27D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w:t>
      </w:r>
      <w:r>
        <w:rPr>
          <w:rFonts w:ascii="Georgia" w:hAnsi="Georgia" w:cs="Georgia"/>
          <w:color w:val="000000"/>
          <w:sz w:val="20"/>
          <w:szCs w:val="20"/>
        </w:rPr>
        <w:t>tates District Court,</w:t>
      </w:r>
    </w:p>
    <w:p w:rsidR="00000000" w:rsidRDefault="007C27D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E.D. New York.</w:t>
      </w:r>
    </w:p>
    <w:p w:rsidR="00000000" w:rsidRDefault="007C27DE">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Theresa GIACCHETTO, Plaintiff,</w:t>
      </w:r>
    </w:p>
    <w:p w:rsidR="00000000" w:rsidRDefault="007C27DE">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7C27DE">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PATCHOGUE</w:t>
      </w:r>
      <w:r>
        <w:rPr>
          <w:rFonts w:ascii="Georgia" w:hAnsi="Georgia" w:cs="Georgia"/>
          <w:color w:val="252525"/>
          <w:sz w:val="20"/>
          <w:szCs w:val="20"/>
        </w:rPr>
        <w:t>–</w:t>
      </w:r>
      <w:r>
        <w:rPr>
          <w:rFonts w:ascii="Georgia" w:hAnsi="Georgia" w:cs="Georgia"/>
          <w:color w:val="252525"/>
          <w:sz w:val="20"/>
          <w:szCs w:val="20"/>
        </w:rPr>
        <w:t>MEDFORD UNION FREE SCHOOL DISTRICT, Defendants.</w:t>
      </w:r>
    </w:p>
    <w:p w:rsidR="00000000" w:rsidRDefault="007C27DE">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No. CV 11</w:t>
      </w:r>
      <w:r>
        <w:rPr>
          <w:rFonts w:ascii="Georgia" w:hAnsi="Georgia" w:cs="Georgia"/>
          <w:color w:val="000000"/>
          <w:sz w:val="20"/>
          <w:szCs w:val="20"/>
        </w:rPr>
        <w:t>–</w:t>
      </w:r>
      <w:r>
        <w:rPr>
          <w:rFonts w:ascii="Georgia" w:hAnsi="Georgia" w:cs="Georgia"/>
          <w:color w:val="000000"/>
          <w:sz w:val="20"/>
          <w:szCs w:val="20"/>
        </w:rPr>
        <w:t>6323 (ADS)(AKT).</w:t>
      </w:r>
    </w:p>
    <w:p w:rsidR="00000000" w:rsidRDefault="007C27DE">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000000" w:rsidRDefault="007C27DE">
      <w:pPr>
        <w:widowControl w:val="0"/>
        <w:autoSpaceDE w:val="0"/>
        <w:autoSpaceDN w:val="0"/>
        <w:adjustRightInd w:val="0"/>
        <w:spacing w:after="200" w:line="240" w:lineRule="auto"/>
        <w:ind w:left="200"/>
        <w:jc w:val="center"/>
        <w:rPr>
          <w:rFonts w:ascii="Georgia" w:hAnsi="Georgia" w:cs="Georgia"/>
          <w:color w:val="000000"/>
          <w:sz w:val="20"/>
          <w:szCs w:val="20"/>
        </w:rPr>
      </w:pPr>
      <w:r>
        <w:rPr>
          <w:rFonts w:ascii="Georgia" w:hAnsi="Georgia" w:cs="Georgia"/>
          <w:color w:val="000000"/>
          <w:sz w:val="20"/>
          <w:szCs w:val="20"/>
        </w:rPr>
        <w:t>May 6, 2013.</w:t>
      </w:r>
    </w:p>
    <w:p w:rsidR="00000000" w:rsidRDefault="007C27DE">
      <w:pPr>
        <w:widowControl w:val="0"/>
        <w:autoSpaceDE w:val="0"/>
        <w:autoSpaceDN w:val="0"/>
        <w:adjustRightInd w:val="0"/>
        <w:spacing w:before="400" w:after="0" w:line="240" w:lineRule="auto"/>
        <w:jc w:val="both"/>
        <w:rPr>
          <w:rFonts w:ascii="Times New Roman" w:hAnsi="Times New Roman" w:cs="Times New Roman"/>
          <w:b/>
          <w:bCs/>
          <w:color w:val="212121"/>
          <w:sz w:val="20"/>
          <w:szCs w:val="20"/>
        </w:rPr>
      </w:pPr>
      <w:bookmarkStart w:id="3" w:name="co_synopsis_1"/>
      <w:bookmarkEnd w:id="3"/>
      <w:r>
        <w:rPr>
          <w:rFonts w:ascii="Times New Roman" w:hAnsi="Times New Roman" w:cs="Times New Roman"/>
          <w:b/>
          <w:bCs/>
          <w:color w:val="212121"/>
          <w:sz w:val="20"/>
          <w:szCs w:val="20"/>
        </w:rPr>
        <w:t>Synopsis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Teacher, who claimed to have been diagnosed with adult Attention Deficit Hyperactivity Disorder (ADHD), brought against school district alleging that the district had violated the Americans with Disabilities Act (ADA) and the New York State Human Rights L</w:t>
      </w:r>
      <w:r>
        <w:rPr>
          <w:rFonts w:ascii="Times New Roman" w:hAnsi="Times New Roman" w:cs="Times New Roman"/>
          <w:color w:val="000000"/>
          <w:sz w:val="20"/>
          <w:szCs w:val="20"/>
        </w:rPr>
        <w:t>aw (NYSHRL) by discriminating against her on the basis of her ADHD, retaliating against her for a complaint she filed with the New York State Division of Human Rights (DHR), and failing to accommodate her ADHD. District moved to compel teacher to provide a</w:t>
      </w:r>
      <w:r>
        <w:rPr>
          <w:rFonts w:ascii="Times New Roman" w:hAnsi="Times New Roman" w:cs="Times New Roman"/>
          <w:color w:val="000000"/>
          <w:sz w:val="20"/>
          <w:szCs w:val="20"/>
        </w:rPr>
        <w:t>uthorizations for the release of all records from teacher’s social networking accounts.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District Court, </w:t>
      </w:r>
      <w:hyperlink r:id="rId8" w:history="1">
        <w:r>
          <w:rPr>
            <w:rFonts w:ascii="Times New Roman" w:hAnsi="Times New Roman" w:cs="Times New Roman"/>
            <w:color w:val="0000FF"/>
            <w:sz w:val="20"/>
            <w:szCs w:val="20"/>
          </w:rPr>
          <w:t>A. Kathleen Tomlinson</w:t>
        </w:r>
      </w:hyperlink>
      <w:r>
        <w:rPr>
          <w:rFonts w:ascii="Times New Roman" w:hAnsi="Times New Roman" w:cs="Times New Roman"/>
          <w:color w:val="000000"/>
          <w:sz w:val="20"/>
          <w:szCs w:val="20"/>
        </w:rPr>
        <w:t>, United States Magistrate Judge, held that: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9" w:history="1">
        <w:r>
          <w:rPr>
            <w:rFonts w:ascii="Times New Roman" w:hAnsi="Times New Roman" w:cs="Times New Roman"/>
            <w:color w:val="0000FF"/>
            <w:sz w:val="20"/>
            <w:szCs w:val="20"/>
            <w:vertAlign w:val="superscript"/>
          </w:rPr>
          <w:t>[1]</w:t>
        </w:r>
      </w:hyperlink>
      <w:r>
        <w:rPr>
          <w:rFonts w:ascii="Times New Roman" w:hAnsi="Times New Roman" w:cs="Times New Roman"/>
          <w:color w:val="000000"/>
          <w:sz w:val="20"/>
          <w:szCs w:val="20"/>
        </w:rPr>
        <w:t xml:space="preserve"> all postings teacher made on social networking sites were not relevant to issue of emotional damages;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0" w:history="1">
        <w:r>
          <w:rPr>
            <w:rFonts w:ascii="Times New Roman" w:hAnsi="Times New Roman" w:cs="Times New Roman"/>
            <w:color w:val="0000FF"/>
            <w:sz w:val="20"/>
            <w:szCs w:val="20"/>
            <w:vertAlign w:val="superscript"/>
          </w:rPr>
          <w:t>[2]</w:t>
        </w:r>
      </w:hyperlink>
      <w:r>
        <w:rPr>
          <w:rFonts w:ascii="Times New Roman" w:hAnsi="Times New Roman" w:cs="Times New Roman"/>
          <w:color w:val="000000"/>
          <w:sz w:val="20"/>
          <w:szCs w:val="20"/>
        </w:rPr>
        <w:t xml:space="preserve"> postings on social media that referenced events alleged in teacher’s complaint were relevant and discovera</w:t>
      </w:r>
      <w:r>
        <w:rPr>
          <w:rFonts w:ascii="Times New Roman" w:hAnsi="Times New Roman" w:cs="Times New Roman"/>
          <w:color w:val="000000"/>
          <w:sz w:val="20"/>
          <w:szCs w:val="20"/>
        </w:rPr>
        <w:t>ble; and</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1" w:history="1">
        <w:r>
          <w:rPr>
            <w:rFonts w:ascii="Times New Roman" w:hAnsi="Times New Roman" w:cs="Times New Roman"/>
            <w:color w:val="0000FF"/>
            <w:sz w:val="20"/>
            <w:szCs w:val="20"/>
            <w:vertAlign w:val="superscript"/>
          </w:rPr>
          <w:t>[3]</w:t>
        </w:r>
      </w:hyperlink>
      <w:r>
        <w:rPr>
          <w:rFonts w:ascii="Times New Roman" w:hAnsi="Times New Roman" w:cs="Times New Roman"/>
          <w:color w:val="000000"/>
          <w:sz w:val="20"/>
          <w:szCs w:val="20"/>
        </w:rPr>
        <w:t xml:space="preserve"> teacher’s attorney would be required to review social media postings for relevance.</w:t>
      </w:r>
    </w:p>
    <w:p w:rsidR="00000000" w:rsidRDefault="007C27DE">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Motion granted in part and denied in part.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headnotes_1"/>
      <w:bookmarkEnd w:id="4"/>
    </w:p>
    <w:p w:rsidR="00000000" w:rsidRDefault="007C27DE">
      <w:pPr>
        <w:widowControl w:val="0"/>
        <w:autoSpaceDE w:val="0"/>
        <w:autoSpaceDN w:val="0"/>
        <w:adjustRightInd w:val="0"/>
        <w:spacing w:after="0" w:line="240" w:lineRule="auto"/>
        <w:jc w:val="both"/>
        <w:rPr>
          <w:rFonts w:ascii="Times New Roman" w:hAnsi="Times New Roman" w:cs="Times New Roman"/>
          <w:color w:val="212121"/>
          <w:sz w:val="20"/>
          <w:szCs w:val="20"/>
        </w:rPr>
      </w:pPr>
      <w:bookmarkStart w:id="5" w:name="co_headnoteHeader_1"/>
      <w:bookmarkEnd w:id="5"/>
    </w:p>
    <w:p w:rsidR="00000000" w:rsidRDefault="007C27DE">
      <w:pPr>
        <w:widowControl w:val="0"/>
        <w:autoSpaceDE w:val="0"/>
        <w:autoSpaceDN w:val="0"/>
        <w:adjustRightInd w:val="0"/>
        <w:spacing w:before="200" w:after="0" w:line="240" w:lineRule="auto"/>
        <w:ind w:left="100" w:right="200"/>
        <w:jc w:val="both"/>
        <w:rPr>
          <w:rFonts w:ascii="Times New Roman" w:hAnsi="Times New Roman" w:cs="Times New Roman"/>
          <w:color w:val="252525"/>
          <w:sz w:val="20"/>
          <w:szCs w:val="20"/>
        </w:rPr>
      </w:pPr>
      <w:r>
        <w:rPr>
          <w:rFonts w:ascii="Times New Roman" w:hAnsi="Times New Roman" w:cs="Times New Roman"/>
          <w:color w:val="252525"/>
          <w:sz w:val="20"/>
          <w:szCs w:val="20"/>
        </w:rPr>
        <w:t>W</w:t>
      </w:r>
      <w:r>
        <w:rPr>
          <w:rFonts w:ascii="Times New Roman" w:hAnsi="Times New Roman" w:cs="Times New Roman"/>
          <w:color w:val="252525"/>
          <w:sz w:val="20"/>
          <w:szCs w:val="20"/>
        </w:rPr>
        <w:t>est Headnotes (4)</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expandedHeadnotes_1"/>
      <w:bookmarkEnd w:id="6"/>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2030790613001_1"/>
      <w:bookmarkEnd w:id="7"/>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 w:name="co_anchor_F12030790613_1"/>
          <w:bookmarkStart w:id="9" w:name="co_anchor_headNote_[1]_1"/>
          <w:bookmarkEnd w:id="8"/>
          <w:bookmarkEnd w:id="9"/>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"#co_anchor_B12030790613_1" </w:instrText>
            </w:r>
            <w:r>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[1]</w:t>
            </w:r>
            <w:r>
              <w:rPr>
                <w:rFonts w:ascii="Times New Roman" w:hAnsi="Times New Roman" w:cs="Times New Roman"/>
                <w:b/>
                <w:bCs/>
                <w:color w:val="000000"/>
                <w:sz w:val="20"/>
                <w:szCs w:val="20"/>
              </w:rPr>
              <w:fldChar w:fldCharType="end"/>
            </w:r>
          </w:p>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2" w:history="1">
              <w:r>
                <w:rPr>
                  <w:rFonts w:ascii="Times New Roman" w:hAnsi="Times New Roman" w:cs="Times New Roman"/>
                  <w:b/>
                  <w:bCs/>
                  <w:color w:val="0000FF"/>
                  <w:sz w:val="20"/>
                  <w:szCs w:val="20"/>
                </w:rPr>
                <w:t>Federal Civil Procedure</w:t>
              </w:r>
            </w:hyperlink>
            <w:r>
              <w:rPr>
                <w:rFonts w:ascii="Times New Roman" w:hAnsi="Times New Roman" w:cs="Times New Roman"/>
                <w:noProof/>
                <w:color w:val="000000"/>
                <w:sz w:val="20"/>
                <w:szCs w:val="20"/>
              </w:rPr>
              <w:drawing>
                <wp:inline distT="0" distB="0" distL="0" distR="0">
                  <wp:extent cx="136525" cy="74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14" w:history="1">
              <w:r>
                <w:rPr>
                  <w:rFonts w:ascii="Times New Roman" w:hAnsi="Times New Roman" w:cs="Times New Roman"/>
                  <w:color w:val="0000FF"/>
                  <w:sz w:val="20"/>
                  <w:szCs w:val="20"/>
                </w:rPr>
                <w:t>Scope</w:t>
              </w:r>
            </w:hyperlink>
          </w:p>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Definition of relevancy under rule authorizing discovery of </w:t>
            </w:r>
            <w:r>
              <w:rPr>
                <w:rFonts w:ascii="Times New Roman" w:hAnsi="Times New Roman" w:cs="Times New Roman"/>
                <w:color w:val="000000"/>
                <w:sz w:val="20"/>
                <w:szCs w:val="20"/>
              </w:rPr>
              <w:t>“</w:t>
            </w:r>
            <w:r>
              <w:rPr>
                <w:rFonts w:ascii="Times New Roman" w:hAnsi="Times New Roman" w:cs="Times New Roman"/>
                <w:color w:val="000000"/>
                <w:sz w:val="20"/>
                <w:szCs w:val="20"/>
              </w:rPr>
              <w:t>matter that is relevant to any party’s claim or defense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to </w:t>
            </w:r>
            <w:r>
              <w:rPr>
                <w:rFonts w:ascii="Times New Roman" w:hAnsi="Times New Roman" w:cs="Times New Roman"/>
                <w:color w:val="000000"/>
                <w:sz w:val="20"/>
                <w:szCs w:val="20"/>
              </w:rPr>
              <w:t xml:space="preserve">be construed broadly to encompass any matter that bears on, or that reasonably could lead to other matter that could bear on, any issue that is or may be in the case. </w:t>
            </w:r>
            <w:hyperlink r:id="rId15" w:history="1">
              <w:r>
                <w:rPr>
                  <w:rFonts w:ascii="Times New Roman" w:hAnsi="Times New Roman" w:cs="Times New Roman"/>
                  <w:color w:val="0000FF"/>
                  <w:sz w:val="20"/>
                  <w:szCs w:val="20"/>
                </w:rPr>
                <w:t>Fed.Rules Civ.Proc.Rule 26(b)(1), 28 U.S.C.A</w:t>
              </w:r>
            </w:hyperlink>
            <w:r>
              <w:rPr>
                <w:rFonts w:ascii="Times New Roman" w:hAnsi="Times New Roman" w:cs="Times New Roman"/>
                <w:color w:val="000000"/>
                <w:sz w:val="20"/>
                <w:szCs w:val="20"/>
              </w:rPr>
              <w:t>.</w:t>
            </w:r>
          </w:p>
          <w:bookmarkStart w:id="10" w:name="co_headnoteId_20307906130012014013015335"/>
          <w:bookmarkEnd w:id="10"/>
          <w:p w:rsidR="00000000" w:rsidRDefault="007C27DE">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"http://www.westlaw.com/Link/RelatedInformation/DocHeadnoteLink?docGuid=Icce27f29d61111e2a555d241dae65084&amp;headnoteId=203079061300120140130153355&amp;originationContext=document&amp;vr=3.0&amp;rs=cblt1.0&amp;t</w:instrText>
            </w:r>
            <w:r>
              <w:rPr>
                <w:rFonts w:ascii="Times New Roman" w:hAnsi="Times New Roman" w:cs="Times New Roman"/>
                <w:color w:val="000000"/>
                <w:sz w:val="20"/>
                <w:szCs w:val="20"/>
              </w:rPr>
              <w:instrText xml:space="preserve">ransitionType=CitingReferences&amp;contextData=(sc.UserEnteredCitation)"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2 Cases that cite this headnote</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anchor_2030790613002_1"/>
      <w:bookmarkEnd w:id="11"/>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2" w:name="co_anchor_F22030790613_1"/>
          <w:bookmarkStart w:id="13" w:name="co_anchor_headNote_[2]_1"/>
          <w:bookmarkEnd w:id="12"/>
          <w:bookmarkEnd w:id="13"/>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"#co_anchor_B22030790613_1" </w:instrText>
            </w:r>
            <w:r>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[2]</w:t>
            </w:r>
            <w:r>
              <w:rPr>
                <w:rFonts w:ascii="Times New Roman" w:hAnsi="Times New Roman" w:cs="Times New Roman"/>
                <w:b/>
                <w:bCs/>
                <w:color w:val="000000"/>
                <w:sz w:val="20"/>
                <w:szCs w:val="20"/>
              </w:rPr>
              <w:fldChar w:fldCharType="end"/>
            </w:r>
          </w:p>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6" w:history="1">
              <w:r>
                <w:rPr>
                  <w:rFonts w:ascii="Times New Roman" w:hAnsi="Times New Roman" w:cs="Times New Roman"/>
                  <w:b/>
                  <w:bCs/>
                  <w:color w:val="0000FF"/>
                  <w:sz w:val="20"/>
                  <w:szCs w:val="20"/>
                </w:rPr>
                <w:t>Federal Civil Procedure</w:t>
              </w:r>
            </w:hyperlink>
            <w:r>
              <w:rPr>
                <w:rFonts w:ascii="Times New Roman" w:hAnsi="Times New Roman" w:cs="Times New Roman"/>
                <w:noProof/>
                <w:color w:val="000000"/>
                <w:sz w:val="20"/>
                <w:szCs w:val="20"/>
              </w:rPr>
              <w:drawing>
                <wp:inline distT="0" distB="0" distL="0" distR="0">
                  <wp:extent cx="136525" cy="74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17" w:history="1">
              <w:r>
                <w:rPr>
                  <w:rFonts w:ascii="Times New Roman" w:hAnsi="Times New Roman" w:cs="Times New Roman"/>
                  <w:color w:val="0000FF"/>
                  <w:sz w:val="20"/>
                  <w:szCs w:val="20"/>
                </w:rPr>
                <w:t>Particular Subject Matters</w:t>
              </w:r>
            </w:hyperlink>
          </w:p>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All postings teacher made on social networking sites were not relevant or likely to lead to the discovery of admissible evidence on teacher’s claimed emotional damages in a</w:t>
            </w:r>
            <w:r>
              <w:rPr>
                <w:rFonts w:ascii="Times New Roman" w:hAnsi="Times New Roman" w:cs="Times New Roman"/>
                <w:color w:val="000000"/>
                <w:sz w:val="20"/>
                <w:szCs w:val="20"/>
              </w:rPr>
              <w:t xml:space="preserve">ction against school district for disability discrimination; only those postings that specifically referenced teacher’s claimed emotional distress, treatment she received, or alternative potential stressors were discoverable. </w:t>
            </w:r>
            <w:hyperlink r:id="rId18" w:history="1">
              <w:r>
                <w:rPr>
                  <w:rFonts w:ascii="Times New Roman" w:hAnsi="Times New Roman" w:cs="Times New Roman"/>
                  <w:color w:val="0000FF"/>
                  <w:sz w:val="20"/>
                  <w:szCs w:val="20"/>
                </w:rPr>
                <w:t>Fed.Rules Civ.Pr</w:t>
              </w:r>
              <w:r>
                <w:rPr>
                  <w:rFonts w:ascii="Times New Roman" w:hAnsi="Times New Roman" w:cs="Times New Roman"/>
                  <w:color w:val="0000FF"/>
                  <w:sz w:val="20"/>
                  <w:szCs w:val="20"/>
                </w:rPr>
                <w:t>oc.Rule 26(b)(1), 28 U.S.C.A</w:t>
              </w:r>
            </w:hyperlink>
            <w:r>
              <w:rPr>
                <w:rFonts w:ascii="Times New Roman" w:hAnsi="Times New Roman" w:cs="Times New Roman"/>
                <w:color w:val="000000"/>
                <w:sz w:val="20"/>
                <w:szCs w:val="20"/>
              </w:rPr>
              <w:t>.</w:t>
            </w:r>
          </w:p>
          <w:bookmarkStart w:id="14" w:name="co_headnoteId_20307906130022014013015335"/>
          <w:bookmarkEnd w:id="14"/>
          <w:p w:rsidR="00000000" w:rsidRDefault="007C27DE">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"http://www.westlaw.com/Link/RelatedInformation/DocHeadnoteLink?docGuid=Icce27f29d61111e2a555d241dae65084&amp;headnoteId=2030790613002201</w:instrText>
            </w:r>
            <w:r>
              <w:rPr>
                <w:rFonts w:ascii="Times New Roman" w:hAnsi="Times New Roman" w:cs="Times New Roman"/>
                <w:color w:val="000000"/>
                <w:sz w:val="20"/>
                <w:szCs w:val="20"/>
              </w:rPr>
              <w:instrText xml:space="preserve">40130153355&amp;originationContext=document&amp;vr=3.0&amp;rs=cblt1.0&amp;transitionType=CitingReferences&amp;contextData=(sc.UserEnteredCitation)"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11 Cases that cite this headnote</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anchor_2030790613003_1"/>
      <w:bookmarkEnd w:id="15"/>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6" w:name="co_anchor_F32030790613_1"/>
          <w:bookmarkStart w:id="17" w:name="co_anchor_headNote_[3]_1"/>
          <w:bookmarkEnd w:id="16"/>
          <w:bookmarkEnd w:id="17"/>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"#co_anchor_B32030790613_1" </w:instrText>
            </w:r>
            <w:r>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[3]</w:t>
            </w:r>
            <w:r>
              <w:rPr>
                <w:rFonts w:ascii="Times New Roman" w:hAnsi="Times New Roman" w:cs="Times New Roman"/>
                <w:b/>
                <w:bCs/>
                <w:color w:val="000000"/>
                <w:sz w:val="20"/>
                <w:szCs w:val="20"/>
              </w:rPr>
              <w:fldChar w:fldCharType="end"/>
            </w:r>
          </w:p>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9" w:history="1">
              <w:r>
                <w:rPr>
                  <w:rFonts w:ascii="Times New Roman" w:hAnsi="Times New Roman" w:cs="Times New Roman"/>
                  <w:b/>
                  <w:bCs/>
                  <w:color w:val="0000FF"/>
                  <w:sz w:val="20"/>
                  <w:szCs w:val="20"/>
                </w:rPr>
                <w:t>Federal Civil Procedure</w:t>
              </w:r>
            </w:hyperlink>
            <w:r>
              <w:rPr>
                <w:rFonts w:ascii="Times New Roman" w:hAnsi="Times New Roman" w:cs="Times New Roman"/>
                <w:noProof/>
                <w:color w:val="000000"/>
                <w:sz w:val="20"/>
                <w:szCs w:val="20"/>
              </w:rPr>
              <w:drawing>
                <wp:inline distT="0" distB="0" distL="0" distR="0">
                  <wp:extent cx="136525" cy="74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20" w:history="1">
              <w:r>
                <w:rPr>
                  <w:rFonts w:ascii="Times New Roman" w:hAnsi="Times New Roman" w:cs="Times New Roman"/>
                  <w:color w:val="0000FF"/>
                  <w:sz w:val="20"/>
                  <w:szCs w:val="20"/>
                </w:rPr>
                <w:t>Particular Subject Matters</w:t>
              </w:r>
            </w:hyperlink>
          </w:p>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Accounts of the events alleged in teacher’s amended complaint on social networking sites, whether contradictory or otherwise, were relevant and discoverable in teacher’s disability discrimination action against school district. </w:t>
            </w:r>
            <w:hyperlink r:id="rId21" w:history="1">
              <w:r>
                <w:rPr>
                  <w:rFonts w:ascii="Times New Roman" w:hAnsi="Times New Roman" w:cs="Times New Roman"/>
                  <w:color w:val="0000FF"/>
                  <w:sz w:val="20"/>
                  <w:szCs w:val="20"/>
                </w:rPr>
                <w:t>Fed.Rul</w:t>
              </w:r>
              <w:r>
                <w:rPr>
                  <w:rFonts w:ascii="Times New Roman" w:hAnsi="Times New Roman" w:cs="Times New Roman"/>
                  <w:color w:val="0000FF"/>
                  <w:sz w:val="20"/>
                  <w:szCs w:val="20"/>
                </w:rPr>
                <w:t>es Civ.Proc.Rule 26(b)(1), 28 U.S.C.A</w:t>
              </w:r>
            </w:hyperlink>
            <w:r>
              <w:rPr>
                <w:rFonts w:ascii="Times New Roman" w:hAnsi="Times New Roman" w:cs="Times New Roman"/>
                <w:color w:val="000000"/>
                <w:sz w:val="20"/>
                <w:szCs w:val="20"/>
              </w:rPr>
              <w:t>.</w:t>
            </w:r>
          </w:p>
          <w:bookmarkStart w:id="18" w:name="co_headnoteId_20307906130032014013015335"/>
          <w:bookmarkEnd w:id="18"/>
          <w:p w:rsidR="00000000" w:rsidRDefault="007C27DE">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"http://www.westlaw.com/Link/RelatedInformation/DocHeadnoteLink?docGuid=Icce27f29d61111e2a555d241dae65084&amp;headnoteId=2030790</w:instrText>
            </w:r>
            <w:r>
              <w:rPr>
                <w:rFonts w:ascii="Times New Roman" w:hAnsi="Times New Roman" w:cs="Times New Roman"/>
                <w:color w:val="000000"/>
                <w:sz w:val="20"/>
                <w:szCs w:val="20"/>
              </w:rPr>
              <w:instrText xml:space="preserve">61300320140130153355&amp;originationContext=document&amp;vr=3.0&amp;rs=cblt1.0&amp;transitionType=CitingReferences&amp;contextData=(sc.UserEnteredCitation)"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3 Cases that cite this headnote</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9" w:name="co_anchor_2030790613004_1"/>
      <w:bookmarkEnd w:id="19"/>
    </w:p>
    <w:tbl>
      <w:tblPr>
        <w:tblW w:w="0" w:type="auto"/>
        <w:tblInd w:w="30" w:type="dxa"/>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0" w:name="co_anchor_F42030790613_1"/>
          <w:bookmarkStart w:id="21" w:name="co_anchor_headNote_[4]_1"/>
          <w:bookmarkEnd w:id="20"/>
          <w:bookmarkEnd w:id="21"/>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"#co_anchor_B42030790613_1" </w:instrText>
            </w:r>
            <w:r>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FF"/>
                <w:sz w:val="20"/>
                <w:szCs w:val="20"/>
                <w:vertAlign w:val="superscript"/>
              </w:rPr>
              <w:t>[4]</w:t>
            </w:r>
            <w:r>
              <w:rPr>
                <w:rFonts w:ascii="Times New Roman" w:hAnsi="Times New Roman" w:cs="Times New Roman"/>
                <w:b/>
                <w:bCs/>
                <w:color w:val="000000"/>
                <w:sz w:val="20"/>
                <w:szCs w:val="20"/>
              </w:rPr>
              <w:fldChar w:fldCharType="end"/>
            </w:r>
          </w:p>
          <w:p w:rsidR="00000000" w:rsidRDefault="007C27DE">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2" w:history="1">
              <w:r>
                <w:rPr>
                  <w:rFonts w:ascii="Times New Roman" w:hAnsi="Times New Roman" w:cs="Times New Roman"/>
                  <w:b/>
                  <w:bCs/>
                  <w:color w:val="0000FF"/>
                  <w:sz w:val="20"/>
                  <w:szCs w:val="20"/>
                </w:rPr>
                <w:t>Federal Civil Procedure</w:t>
              </w:r>
            </w:hyperlink>
            <w:r>
              <w:rPr>
                <w:rFonts w:ascii="Times New Roman" w:hAnsi="Times New Roman" w:cs="Times New Roman"/>
                <w:noProof/>
                <w:color w:val="000000"/>
                <w:sz w:val="20"/>
                <w:szCs w:val="20"/>
              </w:rPr>
              <w:drawing>
                <wp:inline distT="0" distB="0" distL="0" distR="0">
                  <wp:extent cx="136525" cy="74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74930"/>
                          </a:xfrm>
                          <a:prstGeom prst="rect">
                            <a:avLst/>
                          </a:prstGeom>
                          <a:noFill/>
                          <a:ln>
                            <a:noFill/>
                          </a:ln>
                        </pic:spPr>
                      </pic:pic>
                    </a:graphicData>
                  </a:graphic>
                </wp:inline>
              </w:drawing>
            </w:r>
            <w:hyperlink r:id="rId23" w:history="1">
              <w:r>
                <w:rPr>
                  <w:rFonts w:ascii="Times New Roman" w:hAnsi="Times New Roman" w:cs="Times New Roman"/>
                  <w:color w:val="0000FF"/>
                  <w:sz w:val="20"/>
                  <w:szCs w:val="20"/>
                </w:rPr>
                <w:t>Particular Subject Matters</w:t>
              </w:r>
            </w:hyperlink>
          </w:p>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9480" w:type="dxa"/>
            <w:tcBorders>
              <w:top w:val="nil"/>
              <w:left w:val="nil"/>
              <w:bottom w:val="nil"/>
              <w:right w:val="nil"/>
            </w:tcBorders>
            <w:tcMar>
              <w:left w:w="30" w:type="dxa"/>
              <w:right w:w="30" w:type="dxa"/>
            </w:tcMar>
          </w:tcPr>
          <w:p w:rsidR="00000000" w:rsidRDefault="007C27DE">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Teacher’s attorney would be required to review teacher’s postings on social networking sites and tur</w:t>
            </w:r>
            <w:r>
              <w:rPr>
                <w:rFonts w:ascii="Times New Roman" w:hAnsi="Times New Roman" w:cs="Times New Roman"/>
                <w:color w:val="000000"/>
                <w:sz w:val="20"/>
                <w:szCs w:val="20"/>
              </w:rPr>
              <w:t xml:space="preserve">n over relevant material in teacher’s action against school district for disability discrimination to the district, where teacher retained access to the information. </w:t>
            </w:r>
            <w:hyperlink r:id="rId24" w:history="1">
              <w:r>
                <w:rPr>
                  <w:rFonts w:ascii="Times New Roman" w:hAnsi="Times New Roman" w:cs="Times New Roman"/>
                  <w:color w:val="0000FF"/>
                  <w:sz w:val="20"/>
                  <w:szCs w:val="20"/>
                </w:rPr>
                <w:t>Fed.Rules Civ.Proc.Rule 26(b)(1), 28 U.S.C.A</w:t>
              </w:r>
            </w:hyperlink>
            <w:r>
              <w:rPr>
                <w:rFonts w:ascii="Times New Roman" w:hAnsi="Times New Roman" w:cs="Times New Roman"/>
                <w:color w:val="000000"/>
                <w:sz w:val="20"/>
                <w:szCs w:val="20"/>
              </w:rPr>
              <w:t>.</w:t>
            </w:r>
          </w:p>
          <w:bookmarkStart w:id="22" w:name="co_headnoteId_20307906130042014013015335"/>
          <w:bookmarkEnd w:id="22"/>
          <w:p w:rsidR="00000000" w:rsidRDefault="007C27DE">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"http://www.westlaw.com/Link/RelatedInformation/DocHeadnoteLink?docGuid=Icce27f29d61111e2a555d241dae65084&amp;headnoteId=203079061300420140130153355&amp;originationContext=do</w:instrText>
            </w:r>
            <w:r>
              <w:rPr>
                <w:rFonts w:ascii="Times New Roman" w:hAnsi="Times New Roman" w:cs="Times New Roman"/>
                <w:color w:val="000000"/>
                <w:sz w:val="20"/>
                <w:szCs w:val="20"/>
              </w:rPr>
              <w:instrText xml:space="preserve">cument&amp;vr=3.0&amp;rs=cblt1.0&amp;transitionType=CitingReferences&amp;contextData=(sc.UserEnteredCitation)"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rPr>
              <w:t>2 Cases that cite this headnote</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rPr>
          <w:rFonts w:ascii="Times New Roman" w:hAnsi="Times New Roman" w:cs="Times New Roman"/>
          <w:color w:val="0000FF"/>
          <w:sz w:val="20"/>
          <w:szCs w:val="20"/>
        </w:rPr>
      </w:pPr>
      <w:bookmarkStart w:id="23" w:name="co_headnotesEnd_1"/>
      <w:bookmarkEnd w:id="23"/>
    </w:p>
    <w:p w:rsidR="00000000" w:rsidRDefault="007C27DE">
      <w:pPr>
        <w:widowControl w:val="0"/>
        <w:autoSpaceDE w:val="0"/>
        <w:autoSpaceDN w:val="0"/>
        <w:adjustRightInd w:val="0"/>
        <w:spacing w:before="200" w:after="200" w:line="240" w:lineRule="auto"/>
        <w:jc w:val="both"/>
        <w:rPr>
          <w:rFonts w:ascii="Times New Roman" w:hAnsi="Times New Roman" w:cs="Times New Roman"/>
          <w:b/>
          <w:bCs/>
          <w:color w:val="212121"/>
          <w:sz w:val="20"/>
          <w:szCs w:val="20"/>
        </w:rPr>
      </w:pPr>
      <w:bookmarkStart w:id="24" w:name="co_attorneysAndLawFirms_1"/>
      <w:bookmarkEnd w:id="24"/>
      <w:r>
        <w:rPr>
          <w:rFonts w:ascii="Times New Roman" w:hAnsi="Times New Roman" w:cs="Times New Roman"/>
          <w:b/>
          <w:bCs/>
          <w:color w:val="212121"/>
          <w:sz w:val="20"/>
          <w:szCs w:val="20"/>
        </w:rPr>
        <w:t>Attorneys and Law Firms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5" w:name="co_pp_sp_344_113_1"/>
      <w:bookmarkEnd w:id="25"/>
      <w:r>
        <w:rPr>
          <w:rFonts w:ascii="Times New Roman" w:hAnsi="Times New Roman" w:cs="Times New Roman"/>
          <w:b/>
          <w:bCs/>
          <w:color w:val="000000"/>
          <w:sz w:val="20"/>
          <w:szCs w:val="20"/>
        </w:rPr>
        <w:t>*113</w:t>
      </w:r>
      <w:r>
        <w:rPr>
          <w:rFonts w:ascii="Times New Roman" w:hAnsi="Times New Roman" w:cs="Times New Roman"/>
          <w:color w:val="000000"/>
          <w:sz w:val="20"/>
          <w:szCs w:val="20"/>
        </w:rPr>
        <w:t xml:space="preserve"> </w:t>
      </w:r>
      <w:hyperlink r:id="rId25" w:history="1">
        <w:r>
          <w:rPr>
            <w:rFonts w:ascii="Times New Roman" w:hAnsi="Times New Roman" w:cs="Times New Roman"/>
            <w:color w:val="0000FF"/>
            <w:sz w:val="20"/>
            <w:szCs w:val="20"/>
          </w:rPr>
          <w:t>Anne P. Edelman</w:t>
        </w:r>
      </w:hyperlink>
      <w:r>
        <w:rPr>
          <w:rFonts w:ascii="Times New Roman" w:hAnsi="Times New Roman" w:cs="Times New Roman"/>
          <w:color w:val="000000"/>
          <w:sz w:val="20"/>
          <w:szCs w:val="20"/>
        </w:rPr>
        <w:t xml:space="preserve">, </w:t>
      </w:r>
      <w:hyperlink r:id="rId26" w:history="1">
        <w:r>
          <w:rPr>
            <w:rFonts w:ascii="Times New Roman" w:hAnsi="Times New Roman" w:cs="Times New Roman"/>
            <w:color w:val="0000FF"/>
            <w:sz w:val="20"/>
            <w:szCs w:val="20"/>
          </w:rPr>
          <w:t>David H. Rosenberg</w:t>
        </w:r>
      </w:hyperlink>
      <w:r>
        <w:rPr>
          <w:rFonts w:ascii="Times New Roman" w:hAnsi="Times New Roman" w:cs="Times New Roman"/>
          <w:color w:val="000000"/>
          <w:sz w:val="20"/>
          <w:szCs w:val="20"/>
        </w:rPr>
        <w:t xml:space="preserve">, </w:t>
      </w:r>
      <w:hyperlink r:id="rId27" w:history="1">
        <w:r>
          <w:rPr>
            <w:rFonts w:ascii="Times New Roman" w:hAnsi="Times New Roman" w:cs="Times New Roman"/>
            <w:color w:val="0000FF"/>
            <w:sz w:val="20"/>
            <w:szCs w:val="20"/>
          </w:rPr>
          <w:t>Thomas Ricotta</w:t>
        </w:r>
      </w:hyperlink>
      <w:r>
        <w:rPr>
          <w:rFonts w:ascii="Times New Roman" w:hAnsi="Times New Roman" w:cs="Times New Roman"/>
          <w:color w:val="000000"/>
          <w:sz w:val="20"/>
          <w:szCs w:val="20"/>
        </w:rPr>
        <w:t>, Leeds Brown Law, P.C., Carle Place, NY, for Plaintiff.</w:t>
      </w:r>
    </w:p>
    <w:p w:rsidR="00000000" w:rsidRDefault="007C27DE">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David A. Gold, </w:t>
      </w:r>
      <w:hyperlink r:id="rId28" w:history="1">
        <w:r>
          <w:rPr>
            <w:rFonts w:ascii="Times New Roman" w:hAnsi="Times New Roman" w:cs="Times New Roman"/>
            <w:color w:val="0000FF"/>
            <w:sz w:val="20"/>
            <w:szCs w:val="20"/>
          </w:rPr>
          <w:t>Melissa Lauren Holtzer</w:t>
        </w:r>
      </w:hyperlink>
      <w:r>
        <w:rPr>
          <w:rFonts w:ascii="Times New Roman" w:hAnsi="Times New Roman" w:cs="Times New Roman"/>
          <w:color w:val="000000"/>
          <w:sz w:val="20"/>
          <w:szCs w:val="20"/>
        </w:rPr>
        <w:t xml:space="preserve">, </w:t>
      </w:r>
      <w:hyperlink r:id="rId29" w:history="1">
        <w:r>
          <w:rPr>
            <w:rFonts w:ascii="Times New Roman" w:hAnsi="Times New Roman" w:cs="Times New Roman"/>
            <w:color w:val="0000FF"/>
            <w:sz w:val="20"/>
            <w:szCs w:val="20"/>
          </w:rPr>
          <w:t>Steven C. Stern</w:t>
        </w:r>
      </w:hyperlink>
      <w:r>
        <w:rPr>
          <w:rFonts w:ascii="Times New Roman" w:hAnsi="Times New Roman" w:cs="Times New Roman"/>
          <w:color w:val="000000"/>
          <w:sz w:val="20"/>
          <w:szCs w:val="20"/>
        </w:rPr>
        <w:t>, Sokoloff Stern LLP, Carle Place, NY, for Defendants.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6" w:name="co_anchor_I70051111c49811e398db8b09b4f04"/>
      <w:bookmarkEnd w:id="26"/>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 w:name="co_anchor_I70051113c49811e398db8b09b4f04"/>
      <w:bookmarkEnd w:id="27"/>
    </w:p>
    <w:p w:rsidR="00000000" w:rsidRDefault="007C27DE">
      <w:pPr>
        <w:widowControl w:val="0"/>
        <w:autoSpaceDE w:val="0"/>
        <w:autoSpaceDN w:val="0"/>
        <w:adjustRightInd w:val="0"/>
        <w:spacing w:before="400"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ORDER</w:t>
      </w:r>
    </w:p>
    <w:p w:rsidR="00000000" w:rsidRDefault="007C27DE">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30" w:history="1">
        <w:r>
          <w:rPr>
            <w:rFonts w:ascii="Times New Roman" w:hAnsi="Times New Roman" w:cs="Times New Roman"/>
            <w:color w:val="0000FF"/>
            <w:sz w:val="20"/>
            <w:szCs w:val="20"/>
          </w:rPr>
          <w:t>A. KATHLEEN TOMLINSON</w:t>
        </w:r>
      </w:hyperlink>
      <w:r>
        <w:rPr>
          <w:rFonts w:ascii="Times New Roman" w:hAnsi="Times New Roman" w:cs="Times New Roman"/>
          <w:color w:val="000000"/>
          <w:sz w:val="20"/>
          <w:szCs w:val="20"/>
        </w:rPr>
        <w:t>, United States Magistrate Judge:</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Theresa Giacchetto (</w:t>
      </w:r>
      <w:r>
        <w:rPr>
          <w:rFonts w:ascii="Times New Roman" w:hAnsi="Times New Roman" w:cs="Times New Roman"/>
          <w:color w:val="000000"/>
          <w:sz w:val="20"/>
          <w:szCs w:val="20"/>
        </w:rPr>
        <w:t>“</w:t>
      </w:r>
      <w:r>
        <w:rPr>
          <w:rFonts w:ascii="Times New Roman" w:hAnsi="Times New Roman" w:cs="Times New Roman"/>
          <w:color w:val="000000"/>
          <w:sz w:val="20"/>
          <w:szCs w:val="20"/>
        </w:rPr>
        <w:t>Plaintiff</w:t>
      </w:r>
      <w:r>
        <w:rPr>
          <w:rFonts w:ascii="Times New Roman" w:hAnsi="Times New Roman" w:cs="Times New Roman"/>
          <w:color w:val="000000"/>
          <w:sz w:val="20"/>
          <w:szCs w:val="20"/>
        </w:rPr>
        <w:t>”</w:t>
      </w:r>
      <w:r>
        <w:rPr>
          <w:rFonts w:ascii="Times New Roman" w:hAnsi="Times New Roman" w:cs="Times New Roman"/>
          <w:color w:val="000000"/>
          <w:sz w:val="20"/>
          <w:szCs w:val="20"/>
        </w:rPr>
        <w:t>) asserts claims against Defendant Patchogue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Medford Union Free School District (the </w:t>
      </w:r>
      <w:r>
        <w:rPr>
          <w:rFonts w:ascii="Times New Roman" w:hAnsi="Times New Roman" w:cs="Times New Roman"/>
          <w:color w:val="000000"/>
          <w:sz w:val="20"/>
          <w:szCs w:val="20"/>
        </w:rPr>
        <w:t>“</w:t>
      </w:r>
      <w:r>
        <w:rPr>
          <w:rFonts w:ascii="Times New Roman" w:hAnsi="Times New Roman" w:cs="Times New Roman"/>
          <w:color w:val="000000"/>
          <w:sz w:val="20"/>
          <w:szCs w:val="20"/>
        </w:rPr>
        <w:t>School District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Defendant</w:t>
      </w:r>
      <w:r>
        <w:rPr>
          <w:rFonts w:ascii="Times New Roman" w:hAnsi="Times New Roman" w:cs="Times New Roman"/>
          <w:color w:val="000000"/>
          <w:sz w:val="20"/>
          <w:szCs w:val="20"/>
        </w:rPr>
        <w:t>”</w:t>
      </w:r>
      <w:r>
        <w:rPr>
          <w:rFonts w:ascii="Times New Roman" w:hAnsi="Times New Roman" w:cs="Times New Roman"/>
          <w:color w:val="000000"/>
          <w:sz w:val="20"/>
          <w:szCs w:val="20"/>
        </w:rPr>
        <w:t>) for violations of the Am</w:t>
      </w:r>
      <w:r>
        <w:rPr>
          <w:rFonts w:ascii="Times New Roman" w:hAnsi="Times New Roman" w:cs="Times New Roman"/>
          <w:color w:val="000000"/>
          <w:sz w:val="20"/>
          <w:szCs w:val="20"/>
        </w:rPr>
        <w:t>ericans with Disabilities Act (</w:t>
      </w:r>
      <w:r>
        <w:rPr>
          <w:rFonts w:ascii="Times New Roman" w:hAnsi="Times New Roman" w:cs="Times New Roman"/>
          <w:color w:val="000000"/>
          <w:sz w:val="20"/>
          <w:szCs w:val="20"/>
        </w:rPr>
        <w:t>“</w:t>
      </w:r>
      <w:r>
        <w:rPr>
          <w:rFonts w:ascii="Times New Roman" w:hAnsi="Times New Roman" w:cs="Times New Roman"/>
          <w:color w:val="000000"/>
          <w:sz w:val="20"/>
          <w:szCs w:val="20"/>
        </w:rPr>
        <w:t>ADA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1" w:history="1">
        <w:r>
          <w:rPr>
            <w:rFonts w:ascii="Times New Roman" w:hAnsi="Times New Roman" w:cs="Times New Roman"/>
            <w:color w:val="0000FF"/>
            <w:sz w:val="20"/>
            <w:szCs w:val="20"/>
          </w:rPr>
          <w:t xml:space="preserve">42 U.S.C. §§ 12101, </w:t>
        </w:r>
        <w:r>
          <w:rPr>
            <w:rFonts w:ascii="Times New Roman" w:hAnsi="Times New Roman" w:cs="Times New Roman"/>
            <w:i/>
            <w:iCs/>
            <w:color w:val="0000FF"/>
            <w:sz w:val="20"/>
            <w:szCs w:val="20"/>
          </w:rPr>
          <w:t>et seq.,</w:t>
        </w:r>
      </w:hyperlink>
      <w:r>
        <w:rPr>
          <w:rFonts w:ascii="Times New Roman" w:hAnsi="Times New Roman" w:cs="Times New Roman"/>
          <w:color w:val="000000"/>
          <w:sz w:val="20"/>
          <w:szCs w:val="20"/>
        </w:rPr>
        <w:t xml:space="preserve"> and the New York State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NYSHRL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2" w:history="1">
        <w:r>
          <w:rPr>
            <w:rFonts w:ascii="Times New Roman" w:hAnsi="Times New Roman" w:cs="Times New Roman"/>
            <w:color w:val="0000FF"/>
            <w:sz w:val="20"/>
            <w:szCs w:val="20"/>
          </w:rPr>
          <w:t xml:space="preserve">N.Y. Executive Law §§ 290, </w:t>
        </w:r>
        <w:r>
          <w:rPr>
            <w:rFonts w:ascii="Times New Roman" w:hAnsi="Times New Roman" w:cs="Times New Roman"/>
            <w:i/>
            <w:iCs/>
            <w:color w:val="0000FF"/>
            <w:sz w:val="20"/>
            <w:szCs w:val="20"/>
          </w:rPr>
          <w:t>et seq.</w:t>
        </w:r>
      </w:hyperlink>
      <w:r>
        <w:rPr>
          <w:rFonts w:ascii="Times New Roman" w:hAnsi="Times New Roman" w:cs="Times New Roman"/>
          <w:color w:val="000000"/>
          <w:sz w:val="20"/>
          <w:szCs w:val="20"/>
        </w:rPr>
        <w:t xml:space="preserve"> Pending before the Court is Defendant’s motion to compel Plaintif</w:t>
      </w:r>
      <w:r>
        <w:rPr>
          <w:rFonts w:ascii="Times New Roman" w:hAnsi="Times New Roman" w:cs="Times New Roman"/>
          <w:color w:val="000000"/>
          <w:sz w:val="20"/>
          <w:szCs w:val="20"/>
        </w:rPr>
        <w:t xml:space="preserve">f to provide authorizations for the release of all records from Plaintiff’s social networking accounts, including but not limited to her Facebook, Twitter, and MySpace accounts [DE 24]. For the reasons that follow, the motion is GRANTED in part and DENIED </w:t>
      </w:r>
      <w:r>
        <w:rPr>
          <w:rFonts w:ascii="Times New Roman" w:hAnsi="Times New Roman" w:cs="Times New Roman"/>
          <w:color w:val="000000"/>
          <w:sz w:val="20"/>
          <w:szCs w:val="20"/>
        </w:rPr>
        <w:t>in part.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According to the Amended Complaint [DE 15], Plaintiff began working as an elementary education teacher for Defendant in 1996.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 On December 21, 2010, Plaintiff asserts she was diagnosed with adult </w:t>
      </w:r>
      <w:hyperlink r:id="rId33" w:history="1">
        <w:r>
          <w:rPr>
            <w:rFonts w:ascii="Times New Roman" w:hAnsi="Times New Roman" w:cs="Times New Roman"/>
            <w:color w:val="0000FF"/>
            <w:sz w:val="20"/>
            <w:szCs w:val="20"/>
          </w:rPr>
          <w:t>Attention Deficit Hyperactivity Disorder</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ADHD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 Plainti</w:t>
      </w:r>
      <w:r>
        <w:rPr>
          <w:rFonts w:ascii="Times New Roman" w:hAnsi="Times New Roman" w:cs="Times New Roman"/>
          <w:color w:val="000000"/>
          <w:sz w:val="20"/>
          <w:szCs w:val="20"/>
        </w:rPr>
        <w:t xml:space="preserve">ff claims that when she informed Defendant of her ADHD diagnosis, Dr. Tania M. Dalley repeatedly mocked Plaintiff within earshot of others.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 On January 5, 2011, Plaintiff filed a complaint with the New York State Division of Human Rights (</w:t>
      </w:r>
      <w:r>
        <w:rPr>
          <w:rFonts w:ascii="Times New Roman" w:hAnsi="Times New Roman" w:cs="Times New Roman"/>
          <w:color w:val="000000"/>
          <w:sz w:val="20"/>
          <w:szCs w:val="20"/>
        </w:rPr>
        <w:t>“</w:t>
      </w:r>
      <w:r>
        <w:rPr>
          <w:rFonts w:ascii="Times New Roman" w:hAnsi="Times New Roman" w:cs="Times New Roman"/>
          <w:color w:val="000000"/>
          <w:sz w:val="20"/>
          <w:szCs w:val="20"/>
        </w:rPr>
        <w:t>DHR</w:t>
      </w:r>
      <w:r>
        <w:rPr>
          <w:rFonts w:ascii="Times New Roman" w:hAnsi="Times New Roman" w:cs="Times New Roman"/>
          <w:color w:val="000000"/>
          <w:sz w:val="20"/>
          <w:szCs w:val="20"/>
        </w:rPr>
        <w:t>”</w:t>
      </w:r>
      <w:r>
        <w:rPr>
          <w:rFonts w:ascii="Times New Roman" w:hAnsi="Times New Roman" w:cs="Times New Roman"/>
          <w:color w:val="000000"/>
          <w:sz w:val="20"/>
          <w:szCs w:val="20"/>
        </w:rPr>
        <w:t>) a</w:t>
      </w:r>
      <w:r>
        <w:rPr>
          <w:rFonts w:ascii="Times New Roman" w:hAnsi="Times New Roman" w:cs="Times New Roman"/>
          <w:color w:val="000000"/>
          <w:sz w:val="20"/>
          <w:szCs w:val="20"/>
        </w:rPr>
        <w:t xml:space="preserve">lleging disability discrimination.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 Thereafter, Plaintiff alleges that she was treated differently from other employees who did not have a disability and who did not file DHR complaints. For example, Plaintiff asserts that the School District issu</w:t>
      </w:r>
      <w:r>
        <w:rPr>
          <w:rFonts w:ascii="Times New Roman" w:hAnsi="Times New Roman" w:cs="Times New Roman"/>
          <w:color w:val="000000"/>
          <w:sz w:val="20"/>
          <w:szCs w:val="20"/>
        </w:rPr>
        <w:t xml:space="preserve">ed her numerous counseling letters and transferred her to a different classroom and grade level against her will.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57. Plaintiff further alleges that the School District refused to accommodate her disability.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Based on these allegations, Plaint</w:t>
      </w:r>
      <w:r>
        <w:rPr>
          <w:rFonts w:ascii="Times New Roman" w:hAnsi="Times New Roman" w:cs="Times New Roman"/>
          <w:color w:val="000000"/>
          <w:sz w:val="20"/>
          <w:szCs w:val="20"/>
        </w:rPr>
        <w:t xml:space="preserve">iff is seeking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compensatory, </w:t>
      </w:r>
      <w:bookmarkStart w:id="28" w:name="co_pp_sp_344_114_1"/>
      <w:bookmarkEnd w:id="28"/>
      <w:r>
        <w:rPr>
          <w:rFonts w:ascii="Times New Roman" w:hAnsi="Times New Roman" w:cs="Times New Roman"/>
          <w:b/>
          <w:bCs/>
          <w:color w:val="000000"/>
          <w:sz w:val="20"/>
          <w:szCs w:val="20"/>
        </w:rPr>
        <w:t>*114</w:t>
      </w:r>
      <w:r>
        <w:rPr>
          <w:rFonts w:ascii="Times New Roman" w:hAnsi="Times New Roman" w:cs="Times New Roman"/>
          <w:color w:val="000000"/>
          <w:sz w:val="20"/>
          <w:szCs w:val="20"/>
        </w:rPr>
        <w:t xml:space="preserve"> pension, medical benefits, emotional, physical, and punitive damages (where applicable), lost pay, front pay, interest, injunctive relief, and any other damages permitted by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w:t>
      </w:r>
      <w:r>
        <w:rPr>
          <w:rFonts w:ascii="Times New Roman" w:hAnsi="Times New Roman" w:cs="Times New Roman"/>
          <w:color w:val="000000"/>
          <w:sz w:val="20"/>
          <w:szCs w:val="20"/>
        </w:rPr>
        <w:t>t p. 14.</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 argues that information from Plaintiff’s social networking accounts is relevant to Plaintiff’s claims of physical and emotional damages because it reflects her </w:t>
      </w:r>
      <w:r>
        <w:rPr>
          <w:rFonts w:ascii="Times New Roman" w:hAnsi="Times New Roman" w:cs="Times New Roman"/>
          <w:color w:val="000000"/>
          <w:sz w:val="20"/>
          <w:szCs w:val="20"/>
        </w:rPr>
        <w:t>“</w:t>
      </w:r>
      <w:r>
        <w:rPr>
          <w:rFonts w:ascii="Times New Roman" w:hAnsi="Times New Roman" w:cs="Times New Roman"/>
          <w:color w:val="000000"/>
          <w:sz w:val="20"/>
          <w:szCs w:val="20"/>
        </w:rPr>
        <w:t>levels of social interaction and daily functioning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her </w:t>
      </w:r>
      <w:r>
        <w:rPr>
          <w:rFonts w:ascii="Times New Roman" w:hAnsi="Times New Roman" w:cs="Times New Roman"/>
          <w:color w:val="000000"/>
          <w:sz w:val="20"/>
          <w:szCs w:val="20"/>
        </w:rPr>
        <w:t>“</w:t>
      </w:r>
      <w:r>
        <w:rPr>
          <w:rFonts w:ascii="Times New Roman" w:hAnsi="Times New Roman" w:cs="Times New Roman"/>
          <w:color w:val="000000"/>
          <w:sz w:val="20"/>
          <w:szCs w:val="20"/>
        </w:rPr>
        <w:t>emotional and</w:t>
      </w:r>
      <w:r>
        <w:rPr>
          <w:rFonts w:ascii="Times New Roman" w:hAnsi="Times New Roman" w:cs="Times New Roman"/>
          <w:color w:val="000000"/>
          <w:sz w:val="20"/>
          <w:szCs w:val="20"/>
        </w:rPr>
        <w:t xml:space="preserve"> psychological state.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 24 at 2. Defendant also argues that any accounts of the events alleged in the Amended Complaint are discoverable.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Plaintiff argues that Defendant’s request is based on pure speculation and a fishing expedition </w:t>
      </w:r>
      <w:r>
        <w:rPr>
          <w:rFonts w:ascii="Times New Roman" w:hAnsi="Times New Roman" w:cs="Times New Roman"/>
          <w:color w:val="000000"/>
          <w:sz w:val="20"/>
          <w:szCs w:val="20"/>
        </w:rPr>
        <w:t>“</w:t>
      </w:r>
      <w:r>
        <w:rPr>
          <w:rFonts w:ascii="Times New Roman" w:hAnsi="Times New Roman" w:cs="Times New Roman"/>
          <w:color w:val="000000"/>
          <w:sz w:val="20"/>
          <w:szCs w:val="20"/>
        </w:rPr>
        <w:t>designed to har</w:t>
      </w:r>
      <w:r>
        <w:rPr>
          <w:rFonts w:ascii="Times New Roman" w:hAnsi="Times New Roman" w:cs="Times New Roman"/>
          <w:color w:val="000000"/>
          <w:sz w:val="20"/>
          <w:szCs w:val="20"/>
        </w:rPr>
        <w:t>ass Plaintiff and unnecessarily impinge on her privacy in the hopes that it will produce something that can be used against Plaintiff.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 25 at 3.</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9" w:name="co_anchor_I70051114c49811e398db8b09b4f04"/>
      <w:bookmarkEnd w:id="29"/>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A. Legal Standard</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34" w:history="1">
        <w:r>
          <w:rPr>
            <w:rFonts w:ascii="Times New Roman" w:hAnsi="Times New Roman" w:cs="Times New Roman"/>
            <w:b/>
            <w:bCs/>
            <w:color w:val="252525"/>
            <w:sz w:val="20"/>
            <w:szCs w:val="20"/>
            <w:vertAlign w:val="superscript"/>
          </w:rPr>
          <w:t>[1]</w:t>
        </w:r>
      </w:hyperlink>
      <w:bookmarkStart w:id="30" w:name="co_anchor_B12030790613_1"/>
      <w:bookmarkEnd w:id="30"/>
      <w:r>
        <w:rPr>
          <w:rFonts w:ascii="Times New Roman" w:hAnsi="Times New Roman" w:cs="Times New Roman"/>
          <w:color w:val="000000"/>
          <w:sz w:val="20"/>
          <w:szCs w:val="20"/>
        </w:rPr>
        <w:t xml:space="preserve"> </w:t>
      </w:r>
      <w:hyperlink r:id="rId35" w:history="1">
        <w:r>
          <w:rPr>
            <w:rFonts w:ascii="Times New Roman" w:hAnsi="Times New Roman" w:cs="Times New Roman"/>
            <w:color w:val="0000FF"/>
            <w:sz w:val="20"/>
            <w:szCs w:val="20"/>
          </w:rPr>
          <w:t>Federal Rule of Civil Procedure 26(b)(1)</w:t>
        </w:r>
      </w:hyperlink>
      <w:r>
        <w:rPr>
          <w:rFonts w:ascii="Times New Roman" w:hAnsi="Times New Roman" w:cs="Times New Roman"/>
          <w:color w:val="000000"/>
          <w:sz w:val="20"/>
          <w:szCs w:val="20"/>
        </w:rPr>
        <w:t xml:space="preserve"> provides that parties </w:t>
      </w:r>
      <w:r>
        <w:rPr>
          <w:rFonts w:ascii="Times New Roman" w:hAnsi="Times New Roman" w:cs="Times New Roman"/>
          <w:color w:val="000000"/>
          <w:sz w:val="20"/>
          <w:szCs w:val="20"/>
        </w:rPr>
        <w:t>“</w:t>
      </w:r>
      <w:r>
        <w:rPr>
          <w:rFonts w:ascii="Times New Roman" w:hAnsi="Times New Roman" w:cs="Times New Roman"/>
          <w:color w:val="000000"/>
          <w:sz w:val="20"/>
          <w:szCs w:val="20"/>
        </w:rPr>
        <w:t>may obtain discovery regarding any nonprivileged matter that is relevant to any party’s claim or defense.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definition of relevancy under </w:t>
      </w:r>
      <w:hyperlink r:id="rId36" w:history="1">
        <w:r>
          <w:rPr>
            <w:rFonts w:ascii="Times New Roman" w:hAnsi="Times New Roman" w:cs="Times New Roman"/>
            <w:color w:val="0000FF"/>
            <w:sz w:val="20"/>
            <w:szCs w:val="20"/>
          </w:rPr>
          <w:t>Rule 26</w:t>
        </w:r>
      </w:hyperlink>
      <w:r>
        <w:rPr>
          <w:rFonts w:ascii="Times New Roman" w:hAnsi="Times New Roman" w:cs="Times New Roman"/>
          <w:color w:val="000000"/>
          <w:sz w:val="20"/>
          <w:szCs w:val="20"/>
        </w:rPr>
        <w:t xml:space="preserve"> is to be </w:t>
      </w:r>
      <w:r>
        <w:rPr>
          <w:rFonts w:ascii="Times New Roman" w:hAnsi="Times New Roman" w:cs="Times New Roman"/>
          <w:color w:val="000000"/>
          <w:sz w:val="20"/>
          <w:szCs w:val="20"/>
        </w:rPr>
        <w:t>“</w:t>
      </w:r>
      <w:r>
        <w:rPr>
          <w:rFonts w:ascii="Times New Roman" w:hAnsi="Times New Roman" w:cs="Times New Roman"/>
          <w:color w:val="000000"/>
          <w:sz w:val="20"/>
          <w:szCs w:val="20"/>
        </w:rPr>
        <w:t>construed broadly to encompass any matter that bears on, or that reasonably could lead to other matter that could bear on, any issue that is or may be in th[e]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7" w:history="1">
        <w:r>
          <w:rPr>
            <w:rFonts w:ascii="Times New Roman" w:hAnsi="Times New Roman" w:cs="Times New Roman"/>
            <w:i/>
            <w:iCs/>
            <w:color w:val="0000FF"/>
            <w:sz w:val="20"/>
            <w:szCs w:val="20"/>
          </w:rPr>
          <w:t>Oppenheimer Fund, Inc. v. Sanders,</w:t>
        </w:r>
        <w:r>
          <w:rPr>
            <w:rFonts w:ascii="Times New Roman" w:hAnsi="Times New Roman" w:cs="Times New Roman"/>
            <w:color w:val="0000FF"/>
            <w:sz w:val="20"/>
            <w:szCs w:val="20"/>
          </w:rPr>
          <w:t xml:space="preserve"> 437 U.S. 340, 351, 98 S.Ct. 2380, 57 L.E</w:t>
        </w:r>
        <w:r>
          <w:rPr>
            <w:rFonts w:ascii="Times New Roman" w:hAnsi="Times New Roman" w:cs="Times New Roman"/>
            <w:color w:val="0000FF"/>
            <w:sz w:val="20"/>
            <w:szCs w:val="20"/>
          </w:rPr>
          <w:t>d.2d 253 (1978)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38" w:history="1">
        <w:r>
          <w:rPr>
            <w:rFonts w:ascii="Times New Roman" w:hAnsi="Times New Roman" w:cs="Times New Roman"/>
            <w:i/>
            <w:iCs/>
            <w:color w:val="0000FF"/>
            <w:sz w:val="20"/>
            <w:szCs w:val="20"/>
          </w:rPr>
          <w:t>Thomas E. Hoar, Inc. v. Sara Lee Corp.,</w:t>
        </w:r>
        <w:r>
          <w:rPr>
            <w:rFonts w:ascii="Times New Roman" w:hAnsi="Times New Roman" w:cs="Times New Roman"/>
            <w:color w:val="0000FF"/>
            <w:sz w:val="20"/>
            <w:szCs w:val="20"/>
          </w:rPr>
          <w:t xml:space="preserve"> 882 F.2d 682, 687 (2d Cir.1989)</w:t>
        </w:r>
      </w:hyperlink>
      <w:r>
        <w:rPr>
          <w:rFonts w:ascii="Times New Roman" w:hAnsi="Times New Roman" w:cs="Times New Roman"/>
          <w:color w:val="000000"/>
          <w:sz w:val="20"/>
          <w:szCs w:val="20"/>
        </w:rPr>
        <w:t xml:space="preserve"> (holding that </w:t>
      </w:r>
      <w:r>
        <w:rPr>
          <w:rFonts w:ascii="Times New Roman" w:hAnsi="Times New Roman" w:cs="Times New Roman"/>
          <w:color w:val="000000"/>
          <w:sz w:val="20"/>
          <w:szCs w:val="20"/>
        </w:rPr>
        <w:t>“</w:t>
      </w:r>
      <w:r>
        <w:rPr>
          <w:rFonts w:ascii="Times New Roman" w:hAnsi="Times New Roman" w:cs="Times New Roman"/>
          <w:color w:val="000000"/>
          <w:sz w:val="20"/>
          <w:szCs w:val="20"/>
        </w:rPr>
        <w:t>the broad scope of discovery delimited by the Federal Rules of Civil Procedure is designed t</w:t>
      </w:r>
      <w:r>
        <w:rPr>
          <w:rFonts w:ascii="Times New Roman" w:hAnsi="Times New Roman" w:cs="Times New Roman"/>
          <w:color w:val="000000"/>
          <w:sz w:val="20"/>
          <w:szCs w:val="20"/>
        </w:rPr>
        <w:t>o achieve disclosure of all the evidence relevant to the merits of a controversy.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9" w:history="1">
        <w:r>
          <w:rPr>
            <w:rFonts w:ascii="Times New Roman" w:hAnsi="Times New Roman" w:cs="Times New Roman"/>
            <w:i/>
            <w:iCs/>
            <w:color w:val="0000FF"/>
            <w:sz w:val="20"/>
            <w:szCs w:val="20"/>
          </w:rPr>
          <w:t>Barrett v. City of New York,</w:t>
        </w:r>
        <w:r>
          <w:rPr>
            <w:rFonts w:ascii="Times New Roman" w:hAnsi="Times New Roman" w:cs="Times New Roman"/>
            <w:color w:val="0000FF"/>
            <w:sz w:val="20"/>
            <w:szCs w:val="20"/>
          </w:rPr>
          <w:t xml:space="preserve"> 237 F.R.D. 39, 40 (E.D.N.Y.2006)</w:t>
        </w:r>
      </w:hyperlink>
      <w:r>
        <w:rPr>
          <w:rFonts w:ascii="Times New Roman" w:hAnsi="Times New Roman" w:cs="Times New Roman"/>
          <w:color w:val="000000"/>
          <w:sz w:val="20"/>
          <w:szCs w:val="20"/>
        </w:rPr>
        <w:t xml:space="preserve"> (noting that the information sought </w:t>
      </w:r>
      <w:r>
        <w:rPr>
          <w:rFonts w:ascii="Times New Roman" w:hAnsi="Times New Roman" w:cs="Times New Roman"/>
          <w:color w:val="000000"/>
          <w:sz w:val="20"/>
          <w:szCs w:val="20"/>
        </w:rPr>
        <w:t>“</w:t>
      </w:r>
      <w:r>
        <w:rPr>
          <w:rFonts w:ascii="Times New Roman" w:hAnsi="Times New Roman" w:cs="Times New Roman"/>
          <w:color w:val="000000"/>
          <w:sz w:val="20"/>
          <w:szCs w:val="20"/>
        </w:rPr>
        <w:t>need not be admissibl</w:t>
      </w:r>
      <w:r>
        <w:rPr>
          <w:rFonts w:ascii="Times New Roman" w:hAnsi="Times New Roman" w:cs="Times New Roman"/>
          <w:color w:val="000000"/>
          <w:sz w:val="20"/>
          <w:szCs w:val="20"/>
        </w:rPr>
        <w:t>e at trial to be discoverable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0" w:history="1">
        <w:r>
          <w:rPr>
            <w:rFonts w:ascii="Times New Roman" w:hAnsi="Times New Roman" w:cs="Times New Roman"/>
            <w:i/>
            <w:iCs/>
            <w:color w:val="0000FF"/>
            <w:sz w:val="20"/>
            <w:szCs w:val="20"/>
          </w:rPr>
          <w:t>Brown v. City of New York,</w:t>
        </w:r>
        <w:r>
          <w:rPr>
            <w:rFonts w:ascii="Times New Roman" w:hAnsi="Times New Roman" w:cs="Times New Roman"/>
            <w:color w:val="0000FF"/>
            <w:sz w:val="20"/>
            <w:szCs w:val="20"/>
          </w:rPr>
          <w:t xml:space="preserve"> CV 2008–5095 FB MDG, 2011 WL 4594276, *1 (E.D.N.Y. Sept. 30, 2011)</w:t>
        </w:r>
      </w:hyperlink>
      <w:r>
        <w:rPr>
          <w:rFonts w:ascii="Times New Roman" w:hAnsi="Times New Roman" w:cs="Times New Roman"/>
          <w:color w:val="000000"/>
          <w:sz w:val="20"/>
          <w:szCs w:val="20"/>
        </w:rPr>
        <w:t xml:space="preserve"> (stating when broader discovery is sought by the parties, the Court should determine the scope according to t</w:t>
      </w:r>
      <w:r>
        <w:rPr>
          <w:rFonts w:ascii="Times New Roman" w:hAnsi="Times New Roman" w:cs="Times New Roman"/>
          <w:color w:val="000000"/>
          <w:sz w:val="20"/>
          <w:szCs w:val="20"/>
        </w:rPr>
        <w:t>he reasonable needs of the action).</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The fact that Defendant is seeking social networking information as opposed to traditional discovery materials does not change the Court’s analysis. </w:t>
      </w:r>
      <w:hyperlink r:id="rId41" w:history="1">
        <w:r>
          <w:rPr>
            <w:rFonts w:ascii="Times New Roman" w:hAnsi="Times New Roman" w:cs="Times New Roman"/>
            <w:i/>
            <w:iCs/>
            <w:color w:val="0000FF"/>
            <w:sz w:val="20"/>
            <w:szCs w:val="20"/>
          </w:rPr>
          <w:t>EEOC v. Simply Stor</w:t>
        </w:r>
        <w:r>
          <w:rPr>
            <w:rFonts w:ascii="Times New Roman" w:hAnsi="Times New Roman" w:cs="Times New Roman"/>
            <w:i/>
            <w:iCs/>
            <w:color w:val="0000FF"/>
            <w:sz w:val="20"/>
            <w:szCs w:val="20"/>
          </w:rPr>
          <w:t>age Mgmt., LLC,</w:t>
        </w:r>
        <w:r>
          <w:rPr>
            <w:rFonts w:ascii="Times New Roman" w:hAnsi="Times New Roman" w:cs="Times New Roman"/>
            <w:color w:val="0000FF"/>
            <w:sz w:val="20"/>
            <w:szCs w:val="20"/>
          </w:rPr>
          <w:t xml:space="preserve"> 270 F.R.D. 430, 434 (S.D.Ind.2010)</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Discovery of [social networking postings] requires the application of basic discovery principles in a novel context.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accord </w:t>
      </w:r>
      <w:hyperlink r:id="rId42" w:history="1">
        <w:r>
          <w:rPr>
            <w:rFonts w:ascii="Times New Roman" w:hAnsi="Times New Roman" w:cs="Times New Roman"/>
            <w:i/>
            <w:iCs/>
            <w:color w:val="0000FF"/>
            <w:sz w:val="20"/>
            <w:szCs w:val="20"/>
          </w:rPr>
          <w:t xml:space="preserve">Mailhoit v. Home Depot </w:t>
        </w:r>
        <w:r>
          <w:rPr>
            <w:rFonts w:ascii="Times New Roman" w:hAnsi="Times New Roman" w:cs="Times New Roman"/>
            <w:i/>
            <w:iCs/>
            <w:color w:val="0000FF"/>
            <w:sz w:val="20"/>
            <w:szCs w:val="20"/>
          </w:rPr>
          <w:t>U.S.A., Inc.,</w:t>
        </w:r>
        <w:r>
          <w:rPr>
            <w:rFonts w:ascii="Times New Roman" w:hAnsi="Times New Roman" w:cs="Times New Roman"/>
            <w:color w:val="0000FF"/>
            <w:sz w:val="20"/>
            <w:szCs w:val="20"/>
          </w:rPr>
          <w:t xml:space="preserve"> 285 F.R.D. 566, 570 (C.D.Cal.2012)</w:t>
        </w:r>
      </w:hyperlink>
      <w:r>
        <w:rPr>
          <w:rFonts w:ascii="Times New Roman" w:hAnsi="Times New Roman" w:cs="Times New Roman"/>
          <w:color w:val="000000"/>
          <w:sz w:val="20"/>
          <w:szCs w:val="20"/>
        </w:rPr>
        <w:t xml:space="preserve">. The Court also notes that the </w:t>
      </w:r>
      <w:r>
        <w:rPr>
          <w:rFonts w:ascii="Times New Roman" w:hAnsi="Times New Roman" w:cs="Times New Roman"/>
          <w:color w:val="000000"/>
          <w:sz w:val="20"/>
          <w:szCs w:val="20"/>
        </w:rPr>
        <w:t>“</w:t>
      </w:r>
      <w:r>
        <w:rPr>
          <w:rFonts w:ascii="Times New Roman" w:hAnsi="Times New Roman" w:cs="Times New Roman"/>
          <w:color w:val="000000"/>
          <w:sz w:val="20"/>
          <w:szCs w:val="20"/>
        </w:rPr>
        <w:t>fact that the information [Defendant] seeks is in an electronic file as opposed to a file cabinet does not give [it] the right to rummage through the entire file.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3" w:history="1">
        <w:r>
          <w:rPr>
            <w:rFonts w:ascii="Times New Roman" w:hAnsi="Times New Roman" w:cs="Times New Roman"/>
            <w:i/>
            <w:iCs/>
            <w:color w:val="0000FF"/>
            <w:sz w:val="20"/>
            <w:szCs w:val="20"/>
          </w:rPr>
          <w:t>Howell v. Buckeye Ranch, Inc.,</w:t>
        </w:r>
        <w:r>
          <w:rPr>
            <w:rFonts w:ascii="Times New Roman" w:hAnsi="Times New Roman" w:cs="Times New Roman"/>
            <w:color w:val="0000FF"/>
            <w:sz w:val="20"/>
            <w:szCs w:val="20"/>
          </w:rPr>
          <w:t xml:space="preserve"> No. 11–CV–1014, 2012 WL 5265170, at *1 (S.D.Ohio Oct. 1, 2012)</w:t>
        </w:r>
      </w:hyperlink>
      <w:r>
        <w:rPr>
          <w:rFonts w:ascii="Times New Roman" w:hAnsi="Times New Roman" w:cs="Times New Roman"/>
          <w:color w:val="000000"/>
          <w:sz w:val="20"/>
          <w:szCs w:val="20"/>
        </w:rPr>
        <w:t>.</w:t>
      </w:r>
      <w:bookmarkStart w:id="31" w:name="co_footnoteReference_B00112030790613_ID0"/>
      <w:bookmarkEnd w:id="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"#co_footnote_B00112030790613_1"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2" w:name="co_footnote_B00112030790613_1"/>
          <w:bookmarkEnd w:id="32"/>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"#co_footnoteReference_B00112030790613_ID0"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1</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Some courts have held that the private section of a Facebook account is only discoverable if the party seeking the information can make a threshold evidentiary showing that the plaintiff’s public Facebook profile contains information that undermines the pl</w:t>
            </w:r>
            <w:r>
              <w:rPr>
                <w:rFonts w:ascii="Times New Roman" w:hAnsi="Times New Roman" w:cs="Times New Roman"/>
                <w:color w:val="000000"/>
                <w:sz w:val="18"/>
                <w:szCs w:val="18"/>
              </w:rPr>
              <w:t xml:space="preserve">aintiff’s claims. </w:t>
            </w:r>
            <w:r>
              <w:rPr>
                <w:rFonts w:ascii="Times New Roman" w:hAnsi="Times New Roman" w:cs="Times New Roman"/>
                <w:i/>
                <w:iCs/>
                <w:color w:val="000000"/>
                <w:sz w:val="18"/>
                <w:szCs w:val="18"/>
              </w:rPr>
              <w:t xml:space="preserve">See </w:t>
            </w:r>
            <w:hyperlink r:id="rId44" w:history="1">
              <w:r>
                <w:rPr>
                  <w:rFonts w:ascii="Times New Roman" w:hAnsi="Times New Roman" w:cs="Times New Roman"/>
                  <w:i/>
                  <w:iCs/>
                  <w:color w:val="0000FF"/>
                  <w:sz w:val="18"/>
                  <w:szCs w:val="18"/>
                </w:rPr>
                <w:t>Potts v. Dollar Tree Stores, Inc.,</w:t>
              </w:r>
              <w:r>
                <w:rPr>
                  <w:rFonts w:ascii="Times New Roman" w:hAnsi="Times New Roman" w:cs="Times New Roman"/>
                  <w:color w:val="0000FF"/>
                  <w:sz w:val="18"/>
                  <w:szCs w:val="18"/>
                </w:rPr>
                <w:t xml:space="preserve"> No. 11–CV–1180, 2013 WL 1176504, at *3 (M.D.Tenn. March 20, 2013)</w:t>
              </w:r>
            </w:hyperlink>
            <w:r>
              <w:rPr>
                <w:rFonts w:ascii="Times New Roman" w:hAnsi="Times New Roman" w:cs="Times New Roman"/>
                <w:color w:val="000000"/>
                <w:sz w:val="18"/>
                <w:szCs w:val="18"/>
              </w:rPr>
              <w:t xml:space="preserve">; </w:t>
            </w:r>
            <w:hyperlink r:id="rId45" w:history="1">
              <w:r>
                <w:rPr>
                  <w:rFonts w:ascii="Times New Roman" w:hAnsi="Times New Roman" w:cs="Times New Roman"/>
                  <w:i/>
                  <w:iCs/>
                  <w:color w:val="0000FF"/>
                  <w:sz w:val="18"/>
                  <w:szCs w:val="18"/>
                </w:rPr>
                <w:t>Keller v. Nat’l Farmers Union Property &amp; Casualty Co.,</w:t>
              </w:r>
              <w:r>
                <w:rPr>
                  <w:rFonts w:ascii="Times New Roman" w:hAnsi="Times New Roman" w:cs="Times New Roman"/>
                  <w:color w:val="0000FF"/>
                  <w:sz w:val="18"/>
                  <w:szCs w:val="18"/>
                </w:rPr>
                <w:t xml:space="preserve"> No. 12–CV–72, 2013 WL 27731, at *4 (D.Mo</w:t>
              </w:r>
              <w:r>
                <w:rPr>
                  <w:rFonts w:ascii="Times New Roman" w:hAnsi="Times New Roman" w:cs="Times New Roman"/>
                  <w:color w:val="0000FF"/>
                  <w:sz w:val="18"/>
                  <w:szCs w:val="18"/>
                </w:rPr>
                <w:t>nt. Jan. 2, 2013)</w:t>
              </w:r>
            </w:hyperlink>
            <w:r>
              <w:rPr>
                <w:rFonts w:ascii="Times New Roman" w:hAnsi="Times New Roman" w:cs="Times New Roman"/>
                <w:color w:val="000000"/>
                <w:sz w:val="18"/>
                <w:szCs w:val="18"/>
              </w:rPr>
              <w:t xml:space="preserve">; </w:t>
            </w:r>
            <w:hyperlink r:id="rId46" w:history="1">
              <w:r>
                <w:rPr>
                  <w:rFonts w:ascii="Times New Roman" w:hAnsi="Times New Roman" w:cs="Times New Roman"/>
                  <w:i/>
                  <w:iCs/>
                  <w:color w:val="0000FF"/>
                  <w:sz w:val="18"/>
                  <w:szCs w:val="18"/>
                </w:rPr>
                <w:t>Tompkins v. Detroit Metro. Airport,</w:t>
              </w:r>
              <w:r>
                <w:rPr>
                  <w:rFonts w:ascii="Times New Roman" w:hAnsi="Times New Roman" w:cs="Times New Roman"/>
                  <w:color w:val="0000FF"/>
                  <w:sz w:val="18"/>
                  <w:szCs w:val="18"/>
                </w:rPr>
                <w:t xml:space="preserve"> 278 F.R.D. 387, 388 (E.D.Mich.2012)</w:t>
              </w:r>
            </w:hyperlink>
            <w:r>
              <w:rPr>
                <w:rFonts w:ascii="Times New Roman" w:hAnsi="Times New Roman" w:cs="Times New Roman"/>
                <w:color w:val="000000"/>
                <w:sz w:val="18"/>
                <w:szCs w:val="18"/>
              </w:rPr>
              <w:t xml:space="preserve">; </w:t>
            </w:r>
            <w:hyperlink r:id="rId47" w:history="1">
              <w:r>
                <w:rPr>
                  <w:rFonts w:ascii="Times New Roman" w:hAnsi="Times New Roman" w:cs="Times New Roman"/>
                  <w:i/>
                  <w:iCs/>
                  <w:color w:val="0000FF"/>
                  <w:sz w:val="18"/>
                  <w:szCs w:val="18"/>
                </w:rPr>
                <w:t>Romano v. Steelcase Inc.,</w:t>
              </w:r>
              <w:r>
                <w:rPr>
                  <w:rFonts w:ascii="Times New Roman" w:hAnsi="Times New Roman" w:cs="Times New Roman"/>
                  <w:color w:val="0000FF"/>
                  <w:sz w:val="18"/>
                  <w:szCs w:val="18"/>
                </w:rPr>
                <w:t xml:space="preserve"> 30 Misc.3d 426, 432, 907 N.Y.S.2d 650 (Sup.Ct.2010)</w:t>
              </w:r>
            </w:hyperlink>
            <w:r>
              <w:rPr>
                <w:rFonts w:ascii="Times New Roman" w:hAnsi="Times New Roman" w:cs="Times New Roman"/>
                <w:color w:val="000000"/>
                <w:sz w:val="18"/>
                <w:szCs w:val="18"/>
              </w:rPr>
              <w:t>. This approach</w:t>
            </w:r>
            <w:r>
              <w:rPr>
                <w:rFonts w:ascii="Times New Roman" w:hAnsi="Times New Roman" w:cs="Times New Roman"/>
                <w:color w:val="000000"/>
                <w:sz w:val="18"/>
                <w:szCs w:val="18"/>
              </w:rPr>
              <w:t xml:space="preserve"> can lead to results that are both too broad and too narrow. On the one hand, a plaintiff should not be required to turn over the private section of his or her Facebook profile (which may or may not contain relevant information) merely because the public s</w:t>
            </w:r>
            <w:r>
              <w:rPr>
                <w:rFonts w:ascii="Times New Roman" w:hAnsi="Times New Roman" w:cs="Times New Roman"/>
                <w:color w:val="000000"/>
                <w:sz w:val="18"/>
                <w:szCs w:val="18"/>
              </w:rPr>
              <w:t>ection undermines the plaintiff’s claims. On the other hand, a plaintiff should be required to review the private section and produce any relevant information, regardless of what is reflected in the public section. The Federal Rules of Civil Procedure do n</w:t>
            </w:r>
            <w:r>
              <w:rPr>
                <w:rFonts w:ascii="Times New Roman" w:hAnsi="Times New Roman" w:cs="Times New Roman"/>
                <w:color w:val="000000"/>
                <w:sz w:val="18"/>
                <w:szCs w:val="18"/>
              </w:rPr>
              <w:t>ot require a party to prove the existence of relevant material before requesting it. Furthermore, this approach improperly shields from discovery the information of Facebook users who do not share any information publicly. For all of the foregoing reasons,</w:t>
            </w:r>
            <w:r>
              <w:rPr>
                <w:rFonts w:ascii="Times New Roman" w:hAnsi="Times New Roman" w:cs="Times New Roman"/>
                <w:color w:val="000000"/>
                <w:sz w:val="18"/>
                <w:szCs w:val="18"/>
              </w:rPr>
              <w:t xml:space="preserve"> the Court will conduct a traditional relevance analysis.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3" w:name="co_anchor_I70051115c49811e398db8b09b4f04"/>
      <w:bookmarkEnd w:id="33"/>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B. Discussion</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Although Defendant apparently initially sought unlimited access to Plaintiff’</w:t>
      </w:r>
      <w:r>
        <w:rPr>
          <w:rFonts w:ascii="Times New Roman" w:hAnsi="Times New Roman" w:cs="Times New Roman"/>
          <w:color w:val="000000"/>
          <w:sz w:val="20"/>
          <w:szCs w:val="20"/>
        </w:rPr>
        <w:t xml:space="preserve">s entire social networking accounts,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DE 24 at 1, Defendant’s motion to compel is limited to three categories of information: (1) postings</w:t>
      </w:r>
      <w:bookmarkStart w:id="34" w:name="co_footnoteReference_B00222030790613_ID0"/>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"#co_footnote_B0022203079</w:instrText>
      </w:r>
      <w:r>
        <w:rPr>
          <w:rFonts w:ascii="Times New Roman" w:hAnsi="Times New Roman" w:cs="Times New Roman"/>
          <w:color w:val="000000"/>
          <w:sz w:val="16"/>
          <w:szCs w:val="16"/>
        </w:rPr>
        <w:instrText xml:space="preserve">0613_1"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about Plaintiff’s emotional and psychological </w:t>
      </w:r>
      <w:bookmarkStart w:id="35" w:name="co_pp_sp_344_115_1"/>
      <w:bookmarkEnd w:id="35"/>
      <w:r>
        <w:rPr>
          <w:rFonts w:ascii="Times New Roman" w:hAnsi="Times New Roman" w:cs="Times New Roman"/>
          <w:b/>
          <w:bCs/>
          <w:color w:val="000000"/>
          <w:sz w:val="20"/>
          <w:szCs w:val="20"/>
        </w:rPr>
        <w:t>*115</w:t>
      </w:r>
      <w:r>
        <w:rPr>
          <w:rFonts w:ascii="Times New Roman" w:hAnsi="Times New Roman" w:cs="Times New Roman"/>
          <w:color w:val="000000"/>
          <w:sz w:val="20"/>
          <w:szCs w:val="20"/>
        </w:rPr>
        <w:t xml:space="preserve"> well-being; (2) postings about Plaintiff’s physical damages; and (3) any accounts of the events alleged in Plaintiff’s Amended Complaint,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 The Cour</w:t>
      </w:r>
      <w:r>
        <w:rPr>
          <w:rFonts w:ascii="Times New Roman" w:hAnsi="Times New Roman" w:cs="Times New Roman"/>
          <w:color w:val="000000"/>
          <w:sz w:val="20"/>
          <w:szCs w:val="20"/>
        </w:rPr>
        <w:t>t will address each of these categories, as well as the proper method of producing the information which the Court deems relevant.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6" w:name="co_footnote_B00222030790613_1"/>
          <w:bookmarkEnd w:id="36"/>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"#co_footnoteReference_B00222030790613_ID0"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2</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C</w:t>
            </w:r>
            <w:r>
              <w:rPr>
                <w:rFonts w:ascii="Times New Roman" w:hAnsi="Times New Roman" w:cs="Times New Roman"/>
                <w:color w:val="000000"/>
                <w:sz w:val="18"/>
                <w:szCs w:val="18"/>
              </w:rPr>
              <w:t xml:space="preserve">ourt understands </w:t>
            </w:r>
            <w:r>
              <w:rPr>
                <w:rFonts w:ascii="Times New Roman" w:hAnsi="Times New Roman" w:cs="Times New Roman"/>
                <w:color w:val="000000"/>
                <w:sz w:val="18"/>
                <w:szCs w:val="18"/>
              </w:rPr>
              <w:t>“</w:t>
            </w:r>
            <w:r>
              <w:rPr>
                <w:rFonts w:ascii="Times New Roman" w:hAnsi="Times New Roman" w:cs="Times New Roman"/>
                <w:color w:val="000000"/>
                <w:sz w:val="18"/>
                <w:szCs w:val="18"/>
              </w:rPr>
              <w:t>postings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to include status updates, profile information, messages, and photographs on the various social networking websites Plaintiff utilized.</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7" w:name="co_anchor_I70051116c49811e398db8b09b4f04"/>
      <w:bookmarkEnd w:id="37"/>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1. Emotional Damages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48" w:history="1">
        <w:r>
          <w:rPr>
            <w:rFonts w:ascii="Times New Roman" w:hAnsi="Times New Roman" w:cs="Times New Roman"/>
            <w:b/>
            <w:bCs/>
            <w:color w:val="252525"/>
            <w:sz w:val="20"/>
            <w:szCs w:val="20"/>
            <w:vertAlign w:val="superscript"/>
          </w:rPr>
          <w:t>[2]</w:t>
        </w:r>
      </w:hyperlink>
      <w:bookmarkStart w:id="38" w:name="co_anchor_B22030790613_1"/>
      <w:bookmarkEnd w:id="38"/>
      <w:r>
        <w:rPr>
          <w:rFonts w:ascii="Times New Roman" w:hAnsi="Times New Roman" w:cs="Times New Roman"/>
          <w:color w:val="000000"/>
          <w:sz w:val="20"/>
          <w:szCs w:val="20"/>
        </w:rPr>
        <w:t xml:space="preserve"> Courts have reached varying conclusions regarding the relevance of social networking postings in cases involving claims for emotional distress</w:t>
      </w:r>
      <w:r>
        <w:rPr>
          <w:rFonts w:ascii="Times New Roman" w:hAnsi="Times New Roman" w:cs="Times New Roman"/>
          <w:color w:val="000000"/>
          <w:sz w:val="20"/>
          <w:szCs w:val="20"/>
        </w:rPr>
        <w:t xml:space="preserve"> damages. Some courts have held that such information is relevant. </w:t>
      </w:r>
      <w:r>
        <w:rPr>
          <w:rFonts w:ascii="Times New Roman" w:hAnsi="Times New Roman" w:cs="Times New Roman"/>
          <w:i/>
          <w:iCs/>
          <w:color w:val="000000"/>
          <w:sz w:val="20"/>
          <w:szCs w:val="20"/>
        </w:rPr>
        <w:t xml:space="preserve">See </w:t>
      </w:r>
      <w:hyperlink r:id="rId49" w:history="1">
        <w:r>
          <w:rPr>
            <w:rFonts w:ascii="Times New Roman" w:hAnsi="Times New Roman" w:cs="Times New Roman"/>
            <w:i/>
            <w:iCs/>
            <w:color w:val="0000FF"/>
            <w:sz w:val="20"/>
            <w:szCs w:val="20"/>
          </w:rPr>
          <w:t>Reid v. Ingerman Smith LLP,</w:t>
        </w:r>
        <w:r>
          <w:rPr>
            <w:rFonts w:ascii="Times New Roman" w:hAnsi="Times New Roman" w:cs="Times New Roman"/>
            <w:color w:val="0000FF"/>
            <w:sz w:val="20"/>
            <w:szCs w:val="20"/>
          </w:rPr>
          <w:t xml:space="preserve"> No. 12–CV–307, 2012 WL 6720752, at *2 (E.D.N.Y. Dec. 27, 2012)</w:t>
        </w:r>
      </w:hyperlink>
      <w:r>
        <w:rPr>
          <w:rFonts w:ascii="Times New Roman" w:hAnsi="Times New Roman" w:cs="Times New Roman"/>
          <w:color w:val="000000"/>
          <w:sz w:val="20"/>
          <w:szCs w:val="20"/>
        </w:rPr>
        <w:t xml:space="preserve"> (holding that </w:t>
      </w:r>
      <w:r>
        <w:rPr>
          <w:rFonts w:ascii="Times New Roman" w:hAnsi="Times New Roman" w:cs="Times New Roman"/>
          <w:color w:val="000000"/>
          <w:sz w:val="20"/>
          <w:szCs w:val="20"/>
        </w:rPr>
        <w:t>“</w:t>
      </w:r>
      <w:r>
        <w:rPr>
          <w:rFonts w:ascii="Times New Roman" w:hAnsi="Times New Roman" w:cs="Times New Roman"/>
          <w:color w:val="000000"/>
          <w:sz w:val="20"/>
          <w:szCs w:val="20"/>
        </w:rPr>
        <w:t>statements regarding plaintiff’</w:t>
      </w:r>
      <w:r>
        <w:rPr>
          <w:rFonts w:ascii="Times New Roman" w:hAnsi="Times New Roman" w:cs="Times New Roman"/>
          <w:color w:val="000000"/>
          <w:sz w:val="20"/>
          <w:szCs w:val="20"/>
        </w:rPr>
        <w:t>s social activities may be relevant to plaintiff’s claims of emotional distress and loss of enjoyment of life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0" w:history="1">
        <w:r>
          <w:rPr>
            <w:rFonts w:ascii="Times New Roman" w:hAnsi="Times New Roman" w:cs="Times New Roman"/>
            <w:i/>
            <w:iCs/>
            <w:color w:val="0000FF"/>
            <w:sz w:val="20"/>
            <w:szCs w:val="20"/>
          </w:rPr>
          <w:t>Robinson v. Jones Lang LaSalle Ams., Inc.,</w:t>
        </w:r>
        <w:r>
          <w:rPr>
            <w:rFonts w:ascii="Times New Roman" w:hAnsi="Times New Roman" w:cs="Times New Roman"/>
            <w:color w:val="0000FF"/>
            <w:sz w:val="20"/>
            <w:szCs w:val="20"/>
          </w:rPr>
          <w:t xml:space="preserve"> No. 12–CV–127, 2012 WL 3763545, at * 1 (D.Or. Aug. 29, 2012)</w:t>
        </w:r>
      </w:hyperlink>
      <w:r>
        <w:rPr>
          <w:rFonts w:ascii="Times New Roman" w:hAnsi="Times New Roman" w:cs="Times New Roman"/>
          <w:color w:val="000000"/>
          <w:sz w:val="20"/>
          <w:szCs w:val="20"/>
        </w:rPr>
        <w:t xml:space="preserve"> (finding it </w:t>
      </w:r>
      <w:r>
        <w:rPr>
          <w:rFonts w:ascii="Times New Roman" w:hAnsi="Times New Roman" w:cs="Times New Roman"/>
          <w:color w:val="000000"/>
          <w:sz w:val="20"/>
          <w:szCs w:val="20"/>
        </w:rPr>
        <w:t>“</w:t>
      </w:r>
      <w:r>
        <w:rPr>
          <w:rFonts w:ascii="Times New Roman" w:hAnsi="Times New Roman" w:cs="Times New Roman"/>
          <w:color w:val="000000"/>
          <w:sz w:val="20"/>
          <w:szCs w:val="20"/>
        </w:rPr>
        <w:t>reason</w:t>
      </w:r>
      <w:r>
        <w:rPr>
          <w:rFonts w:ascii="Times New Roman" w:hAnsi="Times New Roman" w:cs="Times New Roman"/>
          <w:color w:val="000000"/>
          <w:sz w:val="20"/>
          <w:szCs w:val="20"/>
        </w:rPr>
        <w:t>able to expect severe emotional or mental injury to manifest itself in some social media content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1" w:history="1">
        <w:r>
          <w:rPr>
            <w:rFonts w:ascii="Times New Roman" w:hAnsi="Times New Roman" w:cs="Times New Roman"/>
            <w:i/>
            <w:iCs/>
            <w:color w:val="0000FF"/>
            <w:sz w:val="20"/>
            <w:szCs w:val="20"/>
          </w:rPr>
          <w:t>Sourdiff v. Texas Roadhouse Holdings, LLC,</w:t>
        </w:r>
        <w:r>
          <w:rPr>
            <w:rFonts w:ascii="Times New Roman" w:hAnsi="Times New Roman" w:cs="Times New Roman"/>
            <w:color w:val="0000FF"/>
            <w:sz w:val="20"/>
            <w:szCs w:val="20"/>
          </w:rPr>
          <w:t xml:space="preserve"> No. 10–CV–0408, 2011 WL 7560647, at *1 (N.D.N.Y. Oct. 24, 2011)</w:t>
        </w:r>
      </w:hyperlink>
      <w:r>
        <w:rPr>
          <w:rFonts w:ascii="Times New Roman" w:hAnsi="Times New Roman" w:cs="Times New Roman"/>
          <w:color w:val="000000"/>
          <w:sz w:val="20"/>
          <w:szCs w:val="20"/>
        </w:rPr>
        <w:t xml:space="preserve"> (directing plaintiff to produ</w:t>
      </w:r>
      <w:r>
        <w:rPr>
          <w:rFonts w:ascii="Times New Roman" w:hAnsi="Times New Roman" w:cs="Times New Roman"/>
          <w:color w:val="000000"/>
          <w:sz w:val="20"/>
          <w:szCs w:val="20"/>
        </w:rPr>
        <w:t xml:space="preserve">ce social networking information related in any way to her emotional or mental state). Other courts have questioned the probative value of the material. </w:t>
      </w:r>
      <w:r>
        <w:rPr>
          <w:rFonts w:ascii="Times New Roman" w:hAnsi="Times New Roman" w:cs="Times New Roman"/>
          <w:i/>
          <w:iCs/>
          <w:color w:val="000000"/>
          <w:sz w:val="20"/>
          <w:szCs w:val="20"/>
        </w:rPr>
        <w:t xml:space="preserve">See </w:t>
      </w:r>
      <w:hyperlink r:id="rId52" w:history="1">
        <w:r>
          <w:rPr>
            <w:rFonts w:ascii="Times New Roman" w:hAnsi="Times New Roman" w:cs="Times New Roman"/>
            <w:i/>
            <w:iCs/>
            <w:color w:val="0000FF"/>
            <w:sz w:val="20"/>
            <w:szCs w:val="20"/>
          </w:rPr>
          <w:t>Mailhoit,</w:t>
        </w:r>
        <w:r>
          <w:rPr>
            <w:rFonts w:ascii="Times New Roman" w:hAnsi="Times New Roman" w:cs="Times New Roman"/>
            <w:color w:val="0000FF"/>
            <w:sz w:val="20"/>
            <w:szCs w:val="20"/>
          </w:rPr>
          <w:t xml:space="preserve"> 285 F.R.D. at 571</w:t>
        </w:r>
      </w:hyperlink>
      <w:r>
        <w:rPr>
          <w:rFonts w:ascii="Times New Roman" w:hAnsi="Times New Roman" w:cs="Times New Roman"/>
          <w:color w:val="000000"/>
          <w:sz w:val="20"/>
          <w:szCs w:val="20"/>
        </w:rPr>
        <w:t xml:space="preserve"> (noting that court</w:t>
      </w:r>
      <w:r>
        <w:rPr>
          <w:rFonts w:ascii="Times New Roman" w:hAnsi="Times New Roman" w:cs="Times New Roman"/>
          <w:color w:val="000000"/>
          <w:sz w:val="20"/>
          <w:szCs w:val="20"/>
        </w:rPr>
        <w:t xml:space="preserve">s have held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simple fact that a claimant has </w:t>
      </w:r>
      <w:r>
        <w:rPr>
          <w:rFonts w:ascii="Times New Roman" w:hAnsi="Times New Roman" w:cs="Times New Roman"/>
          <w:i/>
          <w:iCs/>
          <w:color w:val="000000"/>
          <w:sz w:val="20"/>
          <w:szCs w:val="20"/>
        </w:rPr>
        <w:t>had</w:t>
      </w:r>
      <w:r>
        <w:rPr>
          <w:rFonts w:ascii="Times New Roman" w:hAnsi="Times New Roman" w:cs="Times New Roman"/>
          <w:color w:val="000000"/>
          <w:sz w:val="20"/>
          <w:szCs w:val="20"/>
        </w:rPr>
        <w:t xml:space="preserve"> social communication is not necessarily probative of the particular mental and emotional health issues in the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3" w:history="1">
        <w:r>
          <w:rPr>
            <w:rFonts w:ascii="Times New Roman" w:hAnsi="Times New Roman" w:cs="Times New Roman"/>
            <w:i/>
            <w:iCs/>
            <w:color w:val="0000FF"/>
            <w:sz w:val="20"/>
            <w:szCs w:val="20"/>
          </w:rPr>
          <w:t>Holter v. Wells Fargo and Co.,</w:t>
        </w:r>
        <w:r>
          <w:rPr>
            <w:rFonts w:ascii="Times New Roman" w:hAnsi="Times New Roman" w:cs="Times New Roman"/>
            <w:color w:val="0000FF"/>
            <w:sz w:val="20"/>
            <w:szCs w:val="20"/>
          </w:rPr>
          <w:t xml:space="preserve"> 281 </w:t>
        </w:r>
        <w:r>
          <w:rPr>
            <w:rFonts w:ascii="Times New Roman" w:hAnsi="Times New Roman" w:cs="Times New Roman"/>
            <w:color w:val="0000FF"/>
            <w:sz w:val="20"/>
            <w:szCs w:val="20"/>
          </w:rPr>
          <w:t>F.R.D. 340, 344 (D.Minn.2011)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While everything that is posted on a social media website is arguably reflective of a person’s emotional state [the court] would not allow depositions of every friend and acquaintance to inquire about every conversation a</w:t>
      </w:r>
      <w:r>
        <w:rPr>
          <w:rFonts w:ascii="Times New Roman" w:hAnsi="Times New Roman" w:cs="Times New Roman"/>
          <w:color w:val="000000"/>
          <w:sz w:val="20"/>
          <w:szCs w:val="20"/>
        </w:rPr>
        <w:t>nd interaction with plaintiff.</w:t>
      </w:r>
      <w:r>
        <w:rPr>
          <w:rFonts w:ascii="Times New Roman" w:hAnsi="Times New Roman" w:cs="Times New Roman"/>
          <w:color w:val="000000"/>
          <w:sz w:val="20"/>
          <w:szCs w:val="20"/>
        </w:rPr>
        <w:t>”</w:t>
      </w:r>
      <w:r>
        <w:rPr>
          <w:rFonts w:ascii="Times New Roman" w:hAnsi="Times New Roman" w:cs="Times New Roman"/>
          <w:color w:val="000000"/>
          <w:sz w:val="20"/>
          <w:szCs w:val="20"/>
        </w:rPr>
        <w:t>). This Court agrees with the latter approach. The fact that an individual may express some degree of joy, happiness, or sociability on certain occasions sheds little light on the issue of whether he or she is actually suffer</w:t>
      </w:r>
      <w:r>
        <w:rPr>
          <w:rFonts w:ascii="Times New Roman" w:hAnsi="Times New Roman" w:cs="Times New Roman"/>
          <w:color w:val="000000"/>
          <w:sz w:val="20"/>
          <w:szCs w:val="20"/>
        </w:rPr>
        <w:t>ing emotional distress. If the Court were to allow broad discovery of Plaintiff’s social networking postings as part of the emotional distress inquiry, then there would be no principled reason to prevent discovery into every other personal communication th</w:t>
      </w:r>
      <w:r>
        <w:rPr>
          <w:rFonts w:ascii="Times New Roman" w:hAnsi="Times New Roman" w:cs="Times New Roman"/>
          <w:color w:val="000000"/>
          <w:sz w:val="20"/>
          <w:szCs w:val="20"/>
        </w:rPr>
        <w:t xml:space="preserve">e Plaintiff had or sent since alleged incident. As explained by Magistrate Judge Francis in </w:t>
      </w:r>
      <w:hyperlink r:id="rId54" w:history="1">
        <w:r>
          <w:rPr>
            <w:rFonts w:ascii="Times New Roman" w:hAnsi="Times New Roman" w:cs="Times New Roman"/>
            <w:i/>
            <w:iCs/>
            <w:color w:val="0000FF"/>
            <w:sz w:val="20"/>
            <w:szCs w:val="20"/>
          </w:rPr>
          <w:t>Rozell v. Ross–Holst:</w:t>
        </w:r>
      </w:hyperlink>
    </w:p>
    <w:p w:rsidR="00000000" w:rsidRDefault="007C27DE">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be sure, anything that a person says or does might in some theoretical sense be reflective of her emotional state. But that is hardly </w:t>
      </w:r>
      <w:r>
        <w:rPr>
          <w:rFonts w:ascii="Times New Roman" w:hAnsi="Times New Roman" w:cs="Times New Roman"/>
          <w:color w:val="000000"/>
          <w:sz w:val="20"/>
          <w:szCs w:val="20"/>
        </w:rPr>
        <w:t>justification for requiring the production of every thought she may have reduced to writing or, indeed, the deposition of everyone she might have talked to.</w:t>
      </w:r>
    </w:p>
    <w:p w:rsidR="00000000" w:rsidRDefault="007C27DE">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55" w:history="1">
        <w:r>
          <w:rPr>
            <w:rFonts w:ascii="Times New Roman" w:hAnsi="Times New Roman" w:cs="Times New Roman"/>
            <w:color w:val="0000FF"/>
            <w:sz w:val="20"/>
            <w:szCs w:val="20"/>
          </w:rPr>
          <w:t>No. 05–CV–2936, 2006 WL 163143, at *3 (S.D.N.Y. Jan. 20, 2006)</w:t>
        </w:r>
      </w:hyperlink>
      <w:r>
        <w:rPr>
          <w:rFonts w:ascii="Times New Roman" w:hAnsi="Times New Roman" w:cs="Times New Roman"/>
          <w:color w:val="000000"/>
          <w:sz w:val="20"/>
          <w:szCs w:val="20"/>
        </w:rPr>
        <w:t xml:space="preserve"> (ruling on motion to</w:t>
      </w:r>
      <w:r>
        <w:rPr>
          <w:rFonts w:ascii="Times New Roman" w:hAnsi="Times New Roman" w:cs="Times New Roman"/>
          <w:color w:val="000000"/>
          <w:sz w:val="20"/>
          <w:szCs w:val="20"/>
        </w:rPr>
        <w:t xml:space="preserve"> compel emails that defendants claimed provided a contemporaneous record of plaintiff’s emotional state); </w:t>
      </w:r>
      <w:hyperlink r:id="rId56" w:history="1">
        <w:r>
          <w:rPr>
            <w:rFonts w:ascii="Times New Roman" w:hAnsi="Times New Roman" w:cs="Times New Roman"/>
            <w:i/>
            <w:iCs/>
            <w:color w:val="0000FF"/>
            <w:sz w:val="20"/>
            <w:szCs w:val="20"/>
          </w:rPr>
          <w:t>Kennedy v. Contract Pharmacal Corp.,</w:t>
        </w:r>
        <w:r>
          <w:rPr>
            <w:rFonts w:ascii="Times New Roman" w:hAnsi="Times New Roman" w:cs="Times New Roman"/>
            <w:color w:val="0000FF"/>
            <w:sz w:val="20"/>
            <w:szCs w:val="20"/>
          </w:rPr>
          <w:t xml:space="preserve"> No. 12–CV–2664, 2013 WL 1966219, at *2 (E.D.N.Y. May 13, 2013)</w:t>
        </w:r>
      </w:hyperlink>
      <w:r>
        <w:rPr>
          <w:rFonts w:ascii="Times New Roman" w:hAnsi="Times New Roman" w:cs="Times New Roman"/>
          <w:color w:val="000000"/>
          <w:sz w:val="20"/>
          <w:szCs w:val="20"/>
        </w:rPr>
        <w:t xml:space="preserve"> (denying motion to compel </w:t>
      </w:r>
      <w:r>
        <w:rPr>
          <w:rFonts w:ascii="Times New Roman" w:hAnsi="Times New Roman" w:cs="Times New Roman"/>
          <w:color w:val="000000"/>
          <w:sz w:val="20"/>
          <w:szCs w:val="20"/>
        </w:rPr>
        <w:t>“</w:t>
      </w:r>
      <w:r>
        <w:rPr>
          <w:rFonts w:ascii="Times New Roman" w:hAnsi="Times New Roman" w:cs="Times New Roman"/>
          <w:color w:val="000000"/>
          <w:sz w:val="20"/>
          <w:szCs w:val="20"/>
        </w:rPr>
        <w:t>all</w:t>
      </w:r>
      <w:r>
        <w:rPr>
          <w:rFonts w:ascii="Times New Roman" w:hAnsi="Times New Roman" w:cs="Times New Roman"/>
          <w:color w:val="000000"/>
          <w:sz w:val="20"/>
          <w:szCs w:val="20"/>
        </w:rPr>
        <w:t xml:space="preserve"> documents ... reflecting and/or regarding Plaintiff’s expression of an emotional feeling while utilizing a social networking site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where there was no specificity to the requests and no effort to limit requests to any relevant acts alleged in the action). </w:t>
      </w:r>
      <w:r>
        <w:rPr>
          <w:rFonts w:ascii="Times New Roman" w:hAnsi="Times New Roman" w:cs="Times New Roman"/>
          <w:color w:val="000000"/>
          <w:sz w:val="20"/>
          <w:szCs w:val="20"/>
        </w:rPr>
        <w:t>Thus, a plaintiff’s entire social networking account is not necessarily relevant simply because he or she is seeking emotional distress damages.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w:t>
      </w:r>
      <w:hyperlink r:id="rId57" w:history="1">
        <w:r>
          <w:rPr>
            <w:rFonts w:ascii="Times New Roman" w:hAnsi="Times New Roman" w:cs="Times New Roman"/>
            <w:i/>
            <w:iCs/>
            <w:color w:val="0000FF"/>
            <w:sz w:val="20"/>
            <w:szCs w:val="20"/>
          </w:rPr>
          <w:t>Offenback v. L.M. Bowman, Inc.,</w:t>
        </w:r>
      </w:hyperlink>
      <w:r>
        <w:rPr>
          <w:rFonts w:ascii="Times New Roman" w:hAnsi="Times New Roman" w:cs="Times New Roman"/>
          <w:color w:val="000000"/>
          <w:sz w:val="20"/>
          <w:szCs w:val="20"/>
        </w:rPr>
        <w:t xml:space="preserve"> the defendants argued that the plaintiff’s Facebook and MySpace accou</w:t>
      </w:r>
      <w:r>
        <w:rPr>
          <w:rFonts w:ascii="Times New Roman" w:hAnsi="Times New Roman" w:cs="Times New Roman"/>
          <w:color w:val="000000"/>
          <w:sz w:val="20"/>
          <w:szCs w:val="20"/>
        </w:rPr>
        <w:t xml:space="preserve">nts were relevant to his claim that he suffered physical and psychological injuries as a result of a vehicular accident. </w:t>
      </w:r>
      <w:hyperlink r:id="rId58" w:history="1">
        <w:r>
          <w:rPr>
            <w:rFonts w:ascii="Times New Roman" w:hAnsi="Times New Roman" w:cs="Times New Roman"/>
            <w:color w:val="0000FF"/>
            <w:sz w:val="20"/>
            <w:szCs w:val="20"/>
          </w:rPr>
          <w:t>No. 10–CV–1789, 2011 WL 2491371, at *1 (M.D.Pa. June 22, 2011)</w:t>
        </w:r>
      </w:hyperlink>
      <w:r>
        <w:rPr>
          <w:rFonts w:ascii="Times New Roman" w:hAnsi="Times New Roman" w:cs="Times New Roman"/>
          <w:color w:val="000000"/>
          <w:sz w:val="20"/>
          <w:szCs w:val="20"/>
        </w:rPr>
        <w:t>. Specifically, the defendants argued that the plaintiff’</w:t>
      </w:r>
      <w:r>
        <w:rPr>
          <w:rFonts w:ascii="Times New Roman" w:hAnsi="Times New Roman" w:cs="Times New Roman"/>
          <w:color w:val="000000"/>
          <w:sz w:val="20"/>
          <w:szCs w:val="20"/>
        </w:rPr>
        <w:t xml:space="preserve">s </w:t>
      </w:r>
      <w:r>
        <w:rPr>
          <w:rFonts w:ascii="Times New Roman" w:hAnsi="Times New Roman" w:cs="Times New Roman"/>
          <w:color w:val="000000"/>
          <w:sz w:val="20"/>
          <w:szCs w:val="20"/>
        </w:rPr>
        <w:t>“</w:t>
      </w:r>
      <w:r>
        <w:rPr>
          <w:rFonts w:ascii="Times New Roman" w:hAnsi="Times New Roman" w:cs="Times New Roman"/>
          <w:color w:val="000000"/>
          <w:sz w:val="20"/>
          <w:szCs w:val="20"/>
        </w:rPr>
        <w:t>social activities, transportation related activities, and expressions of emotion [were] relevant.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9" w:history="1">
        <w:r>
          <w:rPr>
            <w:rFonts w:ascii="Times New Roman" w:hAnsi="Times New Roman" w:cs="Times New Roman"/>
            <w:i/>
            <w:iCs/>
            <w:color w:val="0000FF"/>
            <w:sz w:val="20"/>
            <w:szCs w:val="20"/>
          </w:rPr>
          <w:t>Id.</w:t>
        </w:r>
      </w:hyperlink>
      <w:r>
        <w:rPr>
          <w:rFonts w:ascii="Times New Roman" w:hAnsi="Times New Roman" w:cs="Times New Roman"/>
          <w:color w:val="000000"/>
          <w:sz w:val="20"/>
          <w:szCs w:val="20"/>
        </w:rPr>
        <w:t xml:space="preserve"> The court conducted an </w:t>
      </w:r>
      <w:r>
        <w:rPr>
          <w:rFonts w:ascii="Times New Roman" w:hAnsi="Times New Roman" w:cs="Times New Roman"/>
          <w:i/>
          <w:iCs/>
          <w:color w:val="000000"/>
          <w:sz w:val="20"/>
          <w:szCs w:val="20"/>
        </w:rPr>
        <w:t>in camera</w:t>
      </w:r>
      <w:r>
        <w:rPr>
          <w:rFonts w:ascii="Times New Roman" w:hAnsi="Times New Roman" w:cs="Times New Roman"/>
          <w:color w:val="000000"/>
          <w:sz w:val="20"/>
          <w:szCs w:val="20"/>
        </w:rPr>
        <w:t xml:space="preserve"> review and ruled that while certain posts reflecting that the plaintiff rode a motorcycle, possibly rode a mule,</w:t>
      </w:r>
      <w:r>
        <w:rPr>
          <w:rFonts w:ascii="Times New Roman" w:hAnsi="Times New Roman" w:cs="Times New Roman"/>
          <w:color w:val="000000"/>
          <w:sz w:val="20"/>
          <w:szCs w:val="20"/>
        </w:rPr>
        <w:t xml:space="preserve"> and hunted after the alleged accident were relevant, the remainder of the postings were not. </w:t>
      </w:r>
      <w:hyperlink r:id="rId60"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*2–3.</w:t>
        </w:r>
      </w:hyperlink>
      <w:r>
        <w:rPr>
          <w:rFonts w:ascii="Times New Roman" w:hAnsi="Times New Roman" w:cs="Times New Roman"/>
          <w:color w:val="000000"/>
          <w:sz w:val="20"/>
          <w:szCs w:val="20"/>
        </w:rPr>
        <w:t xml:space="preserve"> Notably, the Court did not order the production of any expressions of emotion or information about the plaintiff’s social activities despite the</w:t>
      </w:r>
      <w:r>
        <w:rPr>
          <w:rFonts w:ascii="Times New Roman" w:hAnsi="Times New Roman" w:cs="Times New Roman"/>
          <w:color w:val="000000"/>
          <w:sz w:val="20"/>
          <w:szCs w:val="20"/>
        </w:rPr>
        <w:t xml:space="preserve"> fact that the plaintiff engaged in </w:t>
      </w:r>
      <w:r>
        <w:rPr>
          <w:rFonts w:ascii="Times New Roman" w:hAnsi="Times New Roman" w:cs="Times New Roman"/>
          <w:color w:val="000000"/>
          <w:sz w:val="20"/>
          <w:szCs w:val="20"/>
        </w:rPr>
        <w:t>“</w:t>
      </w:r>
      <w:r>
        <w:rPr>
          <w:rFonts w:ascii="Times New Roman" w:hAnsi="Times New Roman" w:cs="Times New Roman"/>
          <w:color w:val="000000"/>
          <w:sz w:val="20"/>
          <w:szCs w:val="20"/>
        </w:rPr>
        <w:t>routine communications with family and friends.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61"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*3.</w:t>
        </w:r>
      </w:hyperlink>
      <w:r>
        <w:rPr>
          <w:rFonts w:ascii="Times New Roman" w:hAnsi="Times New Roman" w:cs="Times New Roman"/>
          <w:color w:val="000000"/>
          <w:sz w:val="20"/>
          <w:szCs w:val="20"/>
        </w:rPr>
        <w:t xml:space="preserve"> Although the court did not directly address the issue, </w:t>
      </w:r>
      <w:hyperlink r:id="rId62" w:history="1">
        <w:r>
          <w:rPr>
            <w:rFonts w:ascii="Times New Roman" w:hAnsi="Times New Roman" w:cs="Times New Roman"/>
            <w:i/>
            <w:iCs/>
            <w:color w:val="0000FF"/>
            <w:sz w:val="20"/>
            <w:szCs w:val="20"/>
          </w:rPr>
          <w:t xml:space="preserve">Offenback </w:t>
        </w:r>
        <w:bookmarkStart w:id="39" w:name="co_pp_sp_344_116_1"/>
        <w:bookmarkEnd w:id="39"/>
        <w:r>
          <w:rPr>
            <w:rFonts w:ascii="Times New Roman" w:hAnsi="Times New Roman" w:cs="Times New Roman"/>
            <w:b/>
            <w:bCs/>
            <w:color w:val="000000"/>
            <w:sz w:val="20"/>
            <w:szCs w:val="20"/>
          </w:rPr>
          <w:t>*116</w:t>
        </w:r>
        <w:r>
          <w:rPr>
            <w:rFonts w:ascii="Times New Roman" w:hAnsi="Times New Roman" w:cs="Times New Roman"/>
            <w:i/>
            <w:iCs/>
            <w:color w:val="0000FF"/>
            <w:sz w:val="20"/>
            <w:szCs w:val="20"/>
          </w:rPr>
          <w:t xml:space="preserve"> </w:t>
        </w:r>
      </w:hyperlink>
      <w:r>
        <w:rPr>
          <w:rFonts w:ascii="Times New Roman" w:hAnsi="Times New Roman" w:cs="Times New Roman"/>
          <w:color w:val="000000"/>
          <w:sz w:val="20"/>
          <w:szCs w:val="20"/>
        </w:rPr>
        <w:t xml:space="preserve"> underscores an important distinction betwe</w:t>
      </w:r>
      <w:r>
        <w:rPr>
          <w:rFonts w:ascii="Times New Roman" w:hAnsi="Times New Roman" w:cs="Times New Roman"/>
          <w:color w:val="000000"/>
          <w:sz w:val="20"/>
          <w:szCs w:val="20"/>
        </w:rPr>
        <w:t>en the relevance of social networking information to claims for physical damages and claims for emotional damages. While the relevance of a posting reflecting engagement in a physical activity that would not be feasible given the plaintiff’s claimed physic</w:t>
      </w:r>
      <w:r>
        <w:rPr>
          <w:rFonts w:ascii="Times New Roman" w:hAnsi="Times New Roman" w:cs="Times New Roman"/>
          <w:color w:val="000000"/>
          <w:sz w:val="20"/>
          <w:szCs w:val="20"/>
        </w:rPr>
        <w:t xml:space="preserve">al injury is obvious, the relationship of routine expressions of mood to a claim for emotional distress damages is much more tenuous. For example, a severely depressed person may have a good day or several good days and choose to post about those days and </w:t>
      </w:r>
      <w:r>
        <w:rPr>
          <w:rFonts w:ascii="Times New Roman" w:hAnsi="Times New Roman" w:cs="Times New Roman"/>
          <w:color w:val="000000"/>
          <w:sz w:val="20"/>
          <w:szCs w:val="20"/>
        </w:rPr>
        <w:t xml:space="preserve">avoid posting about moods more reflective of his or her actual emotional state.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Brown, Kathryn R., </w:t>
      </w:r>
      <w:hyperlink r:id="rId63" w:history="1">
        <w:r>
          <w:rPr>
            <w:rFonts w:ascii="Times New Roman" w:hAnsi="Times New Roman" w:cs="Times New Roman"/>
            <w:i/>
            <w:iCs/>
            <w:color w:val="0000FF"/>
            <w:sz w:val="20"/>
            <w:szCs w:val="20"/>
          </w:rPr>
          <w:t>The Risks of Taking Facebook at Face Value: Why the Psychology of Social Networking Should Influence the Evidentiary Relevance of Facebook Photographs,</w:t>
        </w:r>
        <w:r>
          <w:rPr>
            <w:rFonts w:ascii="Times New Roman" w:hAnsi="Times New Roman" w:cs="Times New Roman"/>
            <w:color w:val="0000FF"/>
            <w:sz w:val="20"/>
            <w:szCs w:val="20"/>
          </w:rPr>
          <w:t xml:space="preserve"> 14 Vand. J. Ent. &amp; Tech. L. 357, 365 (2012)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Because social networking websites enable users to craf</w:t>
      </w:r>
      <w:r>
        <w:rPr>
          <w:rFonts w:ascii="Times New Roman" w:hAnsi="Times New Roman" w:cs="Times New Roman"/>
          <w:color w:val="000000"/>
          <w:sz w:val="20"/>
          <w:szCs w:val="20"/>
        </w:rPr>
        <w:t>t a desired image to display to others, social scientists have posited that outside observers can misinterpret that impression.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Based on the foregoing information, the Court concludes that Plaintiff’s routine status updates and/or communications on so</w:t>
      </w:r>
      <w:r>
        <w:rPr>
          <w:rFonts w:ascii="Times New Roman" w:hAnsi="Times New Roman" w:cs="Times New Roman"/>
          <w:color w:val="000000"/>
          <w:sz w:val="20"/>
          <w:szCs w:val="20"/>
        </w:rPr>
        <w:t>cial networking websites are not, as a general matter, relevant to her claim for emotional distress damages, nor are such communications likely to lead to the discovery of admissible evidence regarding the same. The Court does find, however, find that cert</w:t>
      </w:r>
      <w:r>
        <w:rPr>
          <w:rFonts w:ascii="Times New Roman" w:hAnsi="Times New Roman" w:cs="Times New Roman"/>
          <w:color w:val="000000"/>
          <w:sz w:val="20"/>
          <w:szCs w:val="20"/>
        </w:rPr>
        <w:t>ain limited social networking postings should be produced. First, Plaintiff must produce any specific references to the emotional distress she claims she suffered or treatment she received in connection with the incidents underlying her Amended Complaint (</w:t>
      </w:r>
      <w:r>
        <w:rPr>
          <w:rFonts w:ascii="Times New Roman" w:hAnsi="Times New Roman" w:cs="Times New Roman"/>
          <w:color w:val="000000"/>
          <w:sz w:val="20"/>
          <w:szCs w:val="20"/>
        </w:rPr>
        <w:t xml:space="preserve">e.g., references to a diagnosable condition or visits to medical professionals). Moreover, in seeking emotional distress damages, Plaintiff has opened the door to discovery into other potential sources/causes of that distress. Thus, any postings on social </w:t>
      </w:r>
      <w:r>
        <w:rPr>
          <w:rFonts w:ascii="Times New Roman" w:hAnsi="Times New Roman" w:cs="Times New Roman"/>
          <w:color w:val="000000"/>
          <w:sz w:val="20"/>
          <w:szCs w:val="20"/>
        </w:rPr>
        <w:t xml:space="preserve">networking websites that refer to an alternative potential stressor must also be produced. </w:t>
      </w:r>
      <w:r>
        <w:rPr>
          <w:rFonts w:ascii="Times New Roman" w:hAnsi="Times New Roman" w:cs="Times New Roman"/>
          <w:i/>
          <w:iCs/>
          <w:color w:val="000000"/>
          <w:sz w:val="20"/>
          <w:szCs w:val="20"/>
        </w:rPr>
        <w:t xml:space="preserve">See </w:t>
      </w:r>
      <w:hyperlink r:id="rId64" w:history="1">
        <w:r>
          <w:rPr>
            <w:rFonts w:ascii="Times New Roman" w:hAnsi="Times New Roman" w:cs="Times New Roman"/>
            <w:i/>
            <w:iCs/>
            <w:color w:val="0000FF"/>
            <w:sz w:val="20"/>
            <w:szCs w:val="20"/>
          </w:rPr>
          <w:t>Holter,</w:t>
        </w:r>
        <w:r>
          <w:rPr>
            <w:rFonts w:ascii="Times New Roman" w:hAnsi="Times New Roman" w:cs="Times New Roman"/>
            <w:color w:val="0000FF"/>
            <w:sz w:val="20"/>
            <w:szCs w:val="20"/>
          </w:rPr>
          <w:t xml:space="preserve"> 281 F.R.D. at 344;</w:t>
        </w:r>
      </w:hyperlink>
      <w:r>
        <w:rPr>
          <w:rFonts w:ascii="Times New Roman" w:hAnsi="Times New Roman" w:cs="Times New Roman"/>
          <w:color w:val="000000"/>
          <w:sz w:val="20"/>
          <w:szCs w:val="20"/>
        </w:rPr>
        <w:t xml:space="preserve"> </w:t>
      </w:r>
      <w:hyperlink r:id="rId65" w:history="1">
        <w:r>
          <w:rPr>
            <w:rFonts w:ascii="Times New Roman" w:hAnsi="Times New Roman" w:cs="Times New Roman"/>
            <w:i/>
            <w:iCs/>
            <w:color w:val="0000FF"/>
            <w:sz w:val="20"/>
            <w:szCs w:val="20"/>
          </w:rPr>
          <w:t>Simply Storage,</w:t>
        </w:r>
        <w:r>
          <w:rPr>
            <w:rFonts w:ascii="Times New Roman" w:hAnsi="Times New Roman" w:cs="Times New Roman"/>
            <w:color w:val="0000FF"/>
            <w:sz w:val="20"/>
            <w:szCs w:val="20"/>
          </w:rPr>
          <w:t xml:space="preserve"> 270 F.R.D. at 4</w:t>
        </w:r>
        <w:r>
          <w:rPr>
            <w:rFonts w:ascii="Times New Roman" w:hAnsi="Times New Roman" w:cs="Times New Roman"/>
            <w:color w:val="0000FF"/>
            <w:sz w:val="20"/>
            <w:szCs w:val="20"/>
          </w:rPr>
          <w:t>35.</w:t>
        </w:r>
      </w:hyperlink>
      <w:r>
        <w:rPr>
          <w:rFonts w:ascii="Times New Roman" w:hAnsi="Times New Roman" w:cs="Times New Roman"/>
          <w:color w:val="000000"/>
          <w:sz w:val="20"/>
          <w:szCs w:val="20"/>
        </w:rPr>
        <w:t xml:space="preserve"> These materials are to be served upon Defendant’s counsel as directed in Section B.4. below. However, unfettered access to Plaintiff’s social networking history will not be permitted simply because Plaintiff has a claim for emotional distress damage</w:t>
      </w:r>
      <w:r>
        <w:rPr>
          <w:rFonts w:ascii="Times New Roman" w:hAnsi="Times New Roman" w:cs="Times New Roman"/>
          <w:color w:val="000000"/>
          <w:sz w:val="20"/>
          <w:szCs w:val="20"/>
        </w:rPr>
        <w:t>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0" w:name="co_anchor_I70051117c49811e398db8b09b4f04"/>
      <w:bookmarkEnd w:id="40"/>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2. Physical Damages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Defendant also seeks information bearing on Plaintiff’s claim for physical damages. Postings or photographs on social networking websites that reflect</w:t>
      </w:r>
      <w:r>
        <w:rPr>
          <w:rFonts w:ascii="Times New Roman" w:hAnsi="Times New Roman" w:cs="Times New Roman"/>
          <w:color w:val="000000"/>
          <w:sz w:val="20"/>
          <w:szCs w:val="20"/>
        </w:rPr>
        <w:t xml:space="preserve"> physical capabilities inconsistent with a plaintiff’s claimed injury are relevant. </w:t>
      </w:r>
      <w:r>
        <w:rPr>
          <w:rFonts w:ascii="Times New Roman" w:hAnsi="Times New Roman" w:cs="Times New Roman"/>
          <w:i/>
          <w:iCs/>
          <w:color w:val="000000"/>
          <w:sz w:val="20"/>
          <w:szCs w:val="20"/>
        </w:rPr>
        <w:t xml:space="preserve">See </w:t>
      </w:r>
      <w:hyperlink r:id="rId66" w:history="1">
        <w:r>
          <w:rPr>
            <w:rFonts w:ascii="Times New Roman" w:hAnsi="Times New Roman" w:cs="Times New Roman"/>
            <w:i/>
            <w:iCs/>
            <w:color w:val="0000FF"/>
            <w:sz w:val="20"/>
            <w:szCs w:val="20"/>
          </w:rPr>
          <w:t>Scipione v. Advance Stores Co., Inc.,</w:t>
        </w:r>
        <w:r>
          <w:rPr>
            <w:rFonts w:ascii="Times New Roman" w:hAnsi="Times New Roman" w:cs="Times New Roman"/>
            <w:color w:val="0000FF"/>
            <w:sz w:val="20"/>
            <w:szCs w:val="20"/>
          </w:rPr>
          <w:t xml:space="preserve"> No. 12–CV–687, 2013 WL 646405, at *1 (M.D.Fla. Feb. 21, 2013)</w:t>
        </w:r>
      </w:hyperlink>
      <w:r>
        <w:rPr>
          <w:rFonts w:ascii="Times New Roman" w:hAnsi="Times New Roman" w:cs="Times New Roman"/>
          <w:color w:val="000000"/>
          <w:sz w:val="20"/>
          <w:szCs w:val="20"/>
        </w:rPr>
        <w:t xml:space="preserve"> (approving parties’ agreement in personal injury</w:t>
      </w:r>
      <w:r>
        <w:rPr>
          <w:rFonts w:ascii="Times New Roman" w:hAnsi="Times New Roman" w:cs="Times New Roman"/>
          <w:color w:val="000000"/>
          <w:sz w:val="20"/>
          <w:szCs w:val="20"/>
        </w:rPr>
        <w:t xml:space="preserve"> action to have plaintiff produce Facebook content referring to her knee or her alleged injury); </w:t>
      </w:r>
      <w:hyperlink r:id="rId67" w:history="1">
        <w:r>
          <w:rPr>
            <w:rFonts w:ascii="Times New Roman" w:hAnsi="Times New Roman" w:cs="Times New Roman"/>
            <w:i/>
            <w:iCs/>
            <w:color w:val="0000FF"/>
            <w:sz w:val="20"/>
            <w:szCs w:val="20"/>
          </w:rPr>
          <w:t>Davenport v. State Farm Mutual Automobile Ins. Co.,</w:t>
        </w:r>
        <w:r>
          <w:rPr>
            <w:rFonts w:ascii="Times New Roman" w:hAnsi="Times New Roman" w:cs="Times New Roman"/>
            <w:color w:val="0000FF"/>
            <w:sz w:val="20"/>
            <w:szCs w:val="20"/>
          </w:rPr>
          <w:t xml:space="preserve"> No. 11–CV–632, 2012 WL 555759, at *2 (M.D.Fla. Feb. 21, 2012)</w:t>
        </w:r>
      </w:hyperlink>
      <w:r>
        <w:rPr>
          <w:rFonts w:ascii="Times New Roman" w:hAnsi="Times New Roman" w:cs="Times New Roman"/>
          <w:color w:val="000000"/>
          <w:sz w:val="20"/>
          <w:szCs w:val="20"/>
        </w:rPr>
        <w:t xml:space="preserve"> (ordering production of F</w:t>
      </w:r>
      <w:r>
        <w:rPr>
          <w:rFonts w:ascii="Times New Roman" w:hAnsi="Times New Roman" w:cs="Times New Roman"/>
          <w:color w:val="000000"/>
          <w:sz w:val="20"/>
          <w:szCs w:val="20"/>
        </w:rPr>
        <w:t xml:space="preserve">acebook photographs depicting plaintiff since date of alleged accident since plaintiff’s physical condition was at issue); </w:t>
      </w:r>
      <w:hyperlink r:id="rId68" w:history="1">
        <w:r>
          <w:rPr>
            <w:rFonts w:ascii="Times New Roman" w:hAnsi="Times New Roman" w:cs="Times New Roman"/>
            <w:i/>
            <w:iCs/>
            <w:color w:val="0000FF"/>
            <w:sz w:val="20"/>
            <w:szCs w:val="20"/>
          </w:rPr>
          <w:t>Offenback,</w:t>
        </w:r>
        <w:r>
          <w:rPr>
            <w:rFonts w:ascii="Times New Roman" w:hAnsi="Times New Roman" w:cs="Times New Roman"/>
            <w:color w:val="0000FF"/>
            <w:sz w:val="20"/>
            <w:szCs w:val="20"/>
          </w:rPr>
          <w:t xml:space="preserve"> 2011 WL 2491371, at *1</w:t>
        </w:r>
      </w:hyperlink>
      <w:r>
        <w:rPr>
          <w:rFonts w:ascii="Times New Roman" w:hAnsi="Times New Roman" w:cs="Times New Roman"/>
          <w:color w:val="000000"/>
          <w:sz w:val="20"/>
          <w:szCs w:val="20"/>
        </w:rPr>
        <w:t xml:space="preserve"> (discussed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 In this case, however, other than a brief reference to phys</w:t>
      </w:r>
      <w:r>
        <w:rPr>
          <w:rFonts w:ascii="Times New Roman" w:hAnsi="Times New Roman" w:cs="Times New Roman"/>
          <w:color w:val="000000"/>
          <w:sz w:val="20"/>
          <w:szCs w:val="20"/>
        </w:rPr>
        <w:t xml:space="preserve">ical damages in the </w:t>
      </w:r>
      <w:r>
        <w:rPr>
          <w:rFonts w:ascii="Times New Roman" w:hAnsi="Times New Roman" w:cs="Times New Roman"/>
          <w:i/>
          <w:iCs/>
          <w:color w:val="000000"/>
          <w:sz w:val="20"/>
          <w:szCs w:val="20"/>
        </w:rPr>
        <w:t>ad damnum</w:t>
      </w:r>
      <w:r>
        <w:rPr>
          <w:rFonts w:ascii="Times New Roman" w:hAnsi="Times New Roman" w:cs="Times New Roman"/>
          <w:color w:val="000000"/>
          <w:sz w:val="20"/>
          <w:szCs w:val="20"/>
        </w:rPr>
        <w:t xml:space="preserve"> clause, Plaintiff does not describe any physical damages and the Court is unaware of what type of physical harm she suffered. As such, the Court is directing Plaintiff to confirm in writing that she is pursuing relief for phys</w:t>
      </w:r>
      <w:r>
        <w:rPr>
          <w:rFonts w:ascii="Times New Roman" w:hAnsi="Times New Roman" w:cs="Times New Roman"/>
          <w:color w:val="000000"/>
          <w:sz w:val="20"/>
          <w:szCs w:val="20"/>
        </w:rPr>
        <w:t>ical damages and, if so, specify the claimed harm. This statement is to be served on Defendant’s counsel, with five (5) days of the Court’s Order. The Court will address the scope of social networking discovery as it pertains to physical damages upon recei</w:t>
      </w:r>
      <w:r>
        <w:rPr>
          <w:rFonts w:ascii="Times New Roman" w:hAnsi="Times New Roman" w:cs="Times New Roman"/>
          <w:color w:val="000000"/>
          <w:sz w:val="20"/>
          <w:szCs w:val="20"/>
        </w:rPr>
        <w:t>pt of Plaintiff’s statement.</w:t>
      </w:r>
      <w:bookmarkStart w:id="41" w:name="co_footnoteReference_B00332030790613_ID0"/>
      <w:bookmarkEnd w:id="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"#co_footnote_B00332030790613_1"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2" w:name="co_footnote_B00332030790613_1"/>
          <w:bookmarkEnd w:id="42"/>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"#co_footnoteReference_B00332030790613_ID0" </w:instrText>
            </w:r>
            <w:r>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FF"/>
                <w:sz w:val="20"/>
                <w:szCs w:val="20"/>
                <w:vertAlign w:val="superscript"/>
              </w:rPr>
              <w:t>3</w:t>
            </w:r>
            <w:r>
              <w:rPr>
                <w:rFonts w:ascii="Times New Roman" w:hAnsi="Times New Roman" w:cs="Times New Roman"/>
                <w:color w:val="000000"/>
                <w:sz w:val="20"/>
                <w:szCs w:val="20"/>
              </w:rPr>
              <w:fldChar w:fldCharType="end"/>
            </w:r>
          </w:p>
          <w:p w:rsidR="00000000" w:rsidRDefault="007C27DE">
            <w:pPr>
              <w:widowControl w:val="0"/>
              <w:autoSpaceDE w:val="0"/>
              <w:autoSpaceDN w:val="0"/>
              <w:adjustRightInd w:val="0"/>
              <w:spacing w:after="0" w:line="240" w:lineRule="auto"/>
              <w:rPr>
                <w:rFonts w:ascii="Times New Roman" w:hAnsi="Times New Roman" w:cs="Times New Roman"/>
                <w:color w:val="000000"/>
                <w:sz w:val="20"/>
                <w:szCs w:val="20"/>
              </w:rPr>
            </w:pPr>
          </w:p>
        </w:tc>
        <w:tc>
          <w:tcPr>
            <w:tcW w:w="9480" w:type="dxa"/>
            <w:tcBorders>
              <w:top w:val="nil"/>
              <w:left w:val="nil"/>
              <w:bottom w:val="nil"/>
              <w:right w:val="nil"/>
            </w:tcBorders>
            <w:tcMar>
              <w:top w:w="90" w:type="dxa"/>
              <w:bottom w:w="90" w:type="dxa"/>
            </w:tcMar>
          </w:tcPr>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Court notes that after the Court issued this ruling at the May 6, 2013 conference, counsel for Plaintiff submitted a letter advising the Court that she is no longer claiming physical damages. </w:t>
            </w:r>
            <w:r>
              <w:rPr>
                <w:rFonts w:ascii="Times New Roman" w:hAnsi="Times New Roman" w:cs="Times New Roman"/>
                <w:color w:val="000000"/>
                <w:sz w:val="18"/>
                <w:szCs w:val="18"/>
              </w:rPr>
              <w:t>DE 34. Thus, there is nothing further to address with respect to any production concerning physical damages.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3" w:name="co_anchor_I70051118c49811e398db8b09b4f04"/>
      <w:bookmarkEnd w:id="43"/>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3. Allegations in the Amended Complaint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69" w:history="1">
        <w:r>
          <w:rPr>
            <w:rFonts w:ascii="Times New Roman" w:hAnsi="Times New Roman" w:cs="Times New Roman"/>
            <w:b/>
            <w:bCs/>
            <w:color w:val="252525"/>
            <w:sz w:val="20"/>
            <w:szCs w:val="20"/>
            <w:vertAlign w:val="superscript"/>
          </w:rPr>
          <w:t>[3]</w:t>
        </w:r>
      </w:hyperlink>
      <w:bookmarkStart w:id="44" w:name="co_anchor_B32030790613_1"/>
      <w:bookmarkEnd w:id="44"/>
      <w:r>
        <w:rPr>
          <w:rFonts w:ascii="Times New Roman" w:hAnsi="Times New Roman" w:cs="Times New Roman"/>
          <w:color w:val="000000"/>
          <w:sz w:val="20"/>
          <w:szCs w:val="20"/>
        </w:rPr>
        <w:t xml:space="preserve"> Defendant also seeks </w:t>
      </w:r>
      <w:r>
        <w:rPr>
          <w:rFonts w:ascii="Times New Roman" w:hAnsi="Times New Roman" w:cs="Times New Roman"/>
          <w:color w:val="000000"/>
          <w:sz w:val="20"/>
          <w:szCs w:val="20"/>
        </w:rPr>
        <w:t>“</w:t>
      </w:r>
      <w:r>
        <w:rPr>
          <w:rFonts w:ascii="Times New Roman" w:hAnsi="Times New Roman" w:cs="Times New Roman"/>
          <w:color w:val="000000"/>
          <w:sz w:val="20"/>
          <w:szCs w:val="20"/>
        </w:rPr>
        <w:t>any accounts of the events alleged in plaintiff’s Amended Complaint</w:t>
      </w:r>
      <w:r>
        <w:rPr>
          <w:rFonts w:ascii="Times New Roman" w:hAnsi="Times New Roman" w:cs="Times New Roman"/>
          <w:color w:val="000000"/>
          <w:sz w:val="20"/>
          <w:szCs w:val="20"/>
        </w:rPr>
        <w:t>—</w:t>
      </w:r>
      <w:r>
        <w:rPr>
          <w:rFonts w:ascii="Times New Roman" w:hAnsi="Times New Roman" w:cs="Times New Roman"/>
          <w:color w:val="000000"/>
          <w:sz w:val="20"/>
          <w:szCs w:val="20"/>
        </w:rPr>
        <w:t>contradictory or otherwise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 24 at 2. Such information is relevant and </w:t>
      </w:r>
      <w:bookmarkStart w:id="45" w:name="co_pp_sp_344_117_1"/>
      <w:bookmarkEnd w:id="45"/>
      <w:r>
        <w:rPr>
          <w:rFonts w:ascii="Times New Roman" w:hAnsi="Times New Roman" w:cs="Times New Roman"/>
          <w:b/>
          <w:bCs/>
          <w:color w:val="000000"/>
          <w:sz w:val="20"/>
          <w:szCs w:val="20"/>
        </w:rPr>
        <w:t>*117</w:t>
      </w:r>
      <w:r>
        <w:rPr>
          <w:rFonts w:ascii="Times New Roman" w:hAnsi="Times New Roman" w:cs="Times New Roman"/>
          <w:color w:val="000000"/>
          <w:sz w:val="20"/>
          <w:szCs w:val="20"/>
        </w:rPr>
        <w:t xml:space="preserve"> to the extent that such information exists on any social networking account maintained by the Plaintiff, Plaintiff must produce that information. </w:t>
      </w:r>
      <w:r>
        <w:rPr>
          <w:rFonts w:ascii="Times New Roman" w:hAnsi="Times New Roman" w:cs="Times New Roman"/>
          <w:i/>
          <w:iCs/>
          <w:color w:val="000000"/>
          <w:sz w:val="20"/>
          <w:szCs w:val="20"/>
        </w:rPr>
        <w:t xml:space="preserve">See </w:t>
      </w:r>
      <w:hyperlink r:id="rId70" w:history="1">
        <w:r>
          <w:rPr>
            <w:rFonts w:ascii="Times New Roman" w:hAnsi="Times New Roman" w:cs="Times New Roman"/>
            <w:i/>
            <w:iCs/>
            <w:color w:val="0000FF"/>
            <w:sz w:val="20"/>
            <w:szCs w:val="20"/>
          </w:rPr>
          <w:t>Howell,</w:t>
        </w:r>
        <w:r>
          <w:rPr>
            <w:rFonts w:ascii="Times New Roman" w:hAnsi="Times New Roman" w:cs="Times New Roman"/>
            <w:color w:val="0000FF"/>
            <w:sz w:val="20"/>
            <w:szCs w:val="20"/>
          </w:rPr>
          <w:t xml:space="preserve"> 2012 WL 5265170, at *1</w:t>
        </w:r>
      </w:hyperlink>
      <w:r>
        <w:rPr>
          <w:rFonts w:ascii="Times New Roman" w:hAnsi="Times New Roman" w:cs="Times New Roman"/>
          <w:color w:val="000000"/>
          <w:sz w:val="20"/>
          <w:szCs w:val="20"/>
        </w:rPr>
        <w:t xml:space="preserve"> (denying broad access </w:t>
      </w:r>
      <w:r>
        <w:rPr>
          <w:rFonts w:ascii="Times New Roman" w:hAnsi="Times New Roman" w:cs="Times New Roman"/>
          <w:color w:val="000000"/>
          <w:sz w:val="20"/>
          <w:szCs w:val="20"/>
        </w:rPr>
        <w:t xml:space="preserve">to plaintiff’s social networking websites, but permitting defendant to serve requests for production of information on those websites tailored to the claims and defenses in the lawsuit); </w:t>
      </w:r>
      <w:hyperlink r:id="rId71" w:history="1">
        <w:r>
          <w:rPr>
            <w:rFonts w:ascii="Times New Roman" w:hAnsi="Times New Roman" w:cs="Times New Roman"/>
            <w:i/>
            <w:iCs/>
            <w:color w:val="0000FF"/>
            <w:sz w:val="20"/>
            <w:szCs w:val="20"/>
          </w:rPr>
          <w:t>Mailhoit,</w:t>
        </w:r>
        <w:r>
          <w:rPr>
            <w:rFonts w:ascii="Times New Roman" w:hAnsi="Times New Roman" w:cs="Times New Roman"/>
            <w:color w:val="0000FF"/>
            <w:sz w:val="20"/>
            <w:szCs w:val="20"/>
          </w:rPr>
          <w:t xml:space="preserve"> 285 F.R.D</w:t>
        </w:r>
        <w:r>
          <w:rPr>
            <w:rFonts w:ascii="Times New Roman" w:hAnsi="Times New Roman" w:cs="Times New Roman"/>
            <w:color w:val="0000FF"/>
            <w:sz w:val="20"/>
            <w:szCs w:val="20"/>
          </w:rPr>
          <w:t>. at 572</w:t>
        </w:r>
      </w:hyperlink>
      <w:r>
        <w:rPr>
          <w:rFonts w:ascii="Times New Roman" w:hAnsi="Times New Roman" w:cs="Times New Roman"/>
          <w:color w:val="000000"/>
          <w:sz w:val="20"/>
          <w:szCs w:val="20"/>
        </w:rPr>
        <w:t xml:space="preserve"> (granting motion to compel social networking information to the extent that it constituted communications between plaintiff and defendant’s employees or referred to plaintiff’s employment with defendant or the lawsuit). Plaintiff is therefore r</w:t>
      </w:r>
      <w:r>
        <w:rPr>
          <w:rFonts w:ascii="Times New Roman" w:hAnsi="Times New Roman" w:cs="Times New Roman"/>
          <w:color w:val="000000"/>
          <w:sz w:val="20"/>
          <w:szCs w:val="20"/>
        </w:rPr>
        <w:t xml:space="preserve">equired to produce, as directed in Section 4.B. below, any social networking postings that refer or relate to any of the events alleged in </w:t>
      </w:r>
      <w:r>
        <w:rPr>
          <w:rFonts w:ascii="Times New Roman" w:hAnsi="Times New Roman" w:cs="Times New Roman"/>
          <w:color w:val="000000"/>
          <w:sz w:val="20"/>
          <w:szCs w:val="20"/>
        </w:rPr>
        <w:lastRenderedPageBreak/>
        <w:t>the Amended Complaint.</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6" w:name="co_anchor_I70051119c49811e398db8b09b4f04"/>
      <w:bookmarkEnd w:id="46"/>
    </w:p>
    <w:p w:rsidR="00000000" w:rsidRDefault="007C27DE">
      <w:pPr>
        <w:widowControl w:val="0"/>
        <w:autoSpaceDE w:val="0"/>
        <w:autoSpaceDN w:val="0"/>
        <w:adjustRightInd w:val="0"/>
        <w:spacing w:before="200" w:after="0" w:line="240" w:lineRule="auto"/>
        <w:ind w:left="200"/>
        <w:rPr>
          <w:rFonts w:ascii="Times New Roman" w:hAnsi="Times New Roman" w:cs="Times New Roman"/>
          <w:b/>
          <w:bCs/>
          <w:color w:val="000000"/>
          <w:sz w:val="20"/>
          <w:szCs w:val="20"/>
        </w:rPr>
      </w:pPr>
      <w:r>
        <w:rPr>
          <w:rFonts w:ascii="Times New Roman" w:hAnsi="Times New Roman" w:cs="Times New Roman"/>
          <w:b/>
          <w:bCs/>
          <w:color w:val="000000"/>
          <w:sz w:val="20"/>
          <w:szCs w:val="20"/>
        </w:rPr>
        <w:t>4. Method o</w:t>
      </w:r>
      <w:r>
        <w:rPr>
          <w:rFonts w:ascii="Times New Roman" w:hAnsi="Times New Roman" w:cs="Times New Roman"/>
          <w:b/>
          <w:bCs/>
          <w:color w:val="000000"/>
          <w:sz w:val="20"/>
          <w:szCs w:val="20"/>
        </w:rPr>
        <w:t>f Production</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72" w:history="1">
        <w:r>
          <w:rPr>
            <w:rFonts w:ascii="Times New Roman" w:hAnsi="Times New Roman" w:cs="Times New Roman"/>
            <w:b/>
            <w:bCs/>
            <w:color w:val="252525"/>
            <w:sz w:val="20"/>
            <w:szCs w:val="20"/>
            <w:vertAlign w:val="superscript"/>
          </w:rPr>
          <w:t>[4]</w:t>
        </w:r>
      </w:hyperlink>
      <w:bookmarkStart w:id="47" w:name="co_anchor_B42030790613_1"/>
      <w:bookmarkEnd w:id="47"/>
      <w:r>
        <w:rPr>
          <w:rFonts w:ascii="Times New Roman" w:hAnsi="Times New Roman" w:cs="Times New Roman"/>
          <w:color w:val="000000"/>
          <w:sz w:val="20"/>
          <w:szCs w:val="20"/>
        </w:rPr>
        <w:t xml:space="preserve"> Having determined the scope of relevant information, the Court turns to the final issue raised in the parties’ submissions</w:t>
      </w:r>
      <w:r>
        <w:rPr>
          <w:rFonts w:ascii="Times New Roman" w:hAnsi="Times New Roman" w:cs="Times New Roman"/>
          <w:color w:val="000000"/>
          <w:sz w:val="20"/>
          <w:szCs w:val="20"/>
        </w:rPr>
        <w:t>—</w:t>
      </w:r>
      <w:r>
        <w:rPr>
          <w:rFonts w:ascii="Times New Roman" w:hAnsi="Times New Roman" w:cs="Times New Roman"/>
          <w:color w:val="000000"/>
          <w:sz w:val="20"/>
          <w:szCs w:val="20"/>
        </w:rPr>
        <w:t>the method of producing inf</w:t>
      </w:r>
      <w:r>
        <w:rPr>
          <w:rFonts w:ascii="Times New Roman" w:hAnsi="Times New Roman" w:cs="Times New Roman"/>
          <w:color w:val="000000"/>
          <w:sz w:val="20"/>
          <w:szCs w:val="20"/>
        </w:rPr>
        <w:t>ormation from Plaintiff’s social networking accounts. Defendant seeks authorizations for the release of records from these accounts and presumably intends to subpoena the companies which host Plaintiff’s accounts. Defendant also requests that Plaintiff’s c</w:t>
      </w:r>
      <w:r>
        <w:rPr>
          <w:rFonts w:ascii="Times New Roman" w:hAnsi="Times New Roman" w:cs="Times New Roman"/>
          <w:color w:val="000000"/>
          <w:sz w:val="20"/>
          <w:szCs w:val="20"/>
        </w:rPr>
        <w:t>ounsel conduct an independent review of the accounts for relevant material, instead of relying on the Plaintiff’s conclusion that there is no relevant information in the account as counsel has previously done. Plaintiff takes no position on these issues.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the Court sees no basis at this time why Defendant should go through a third-party provider to access Plaintiff’s social networking postings when Plaintiff has access to this information herself. </w:t>
      </w:r>
      <w:r>
        <w:rPr>
          <w:rFonts w:ascii="Times New Roman" w:hAnsi="Times New Roman" w:cs="Times New Roman"/>
          <w:i/>
          <w:iCs/>
          <w:color w:val="000000"/>
          <w:sz w:val="20"/>
          <w:szCs w:val="20"/>
        </w:rPr>
        <w:t xml:space="preserve">See </w:t>
      </w:r>
      <w:hyperlink r:id="rId73" w:history="1">
        <w:r>
          <w:rPr>
            <w:rFonts w:ascii="Times New Roman" w:hAnsi="Times New Roman" w:cs="Times New Roman"/>
            <w:i/>
            <w:iCs/>
            <w:color w:val="0000FF"/>
            <w:sz w:val="20"/>
            <w:szCs w:val="20"/>
          </w:rPr>
          <w:t>Howell,</w:t>
        </w:r>
        <w:r>
          <w:rPr>
            <w:rFonts w:ascii="Times New Roman" w:hAnsi="Times New Roman" w:cs="Times New Roman"/>
            <w:color w:val="0000FF"/>
            <w:sz w:val="20"/>
            <w:szCs w:val="20"/>
          </w:rPr>
          <w:t xml:space="preserve"> 2012 WL 5265170, at *1</w:t>
        </w:r>
      </w:hyperlink>
      <w:r>
        <w:rPr>
          <w:rFonts w:ascii="Times New Roman" w:hAnsi="Times New Roman" w:cs="Times New Roman"/>
          <w:color w:val="000000"/>
          <w:sz w:val="20"/>
          <w:szCs w:val="20"/>
        </w:rPr>
        <w:t xml:space="preserve"> (ordering plaintiff’s counsel to access plaintiff’s social media accounts and produce responsive information as opposed to having plaintiff provide defendant with her usernames and passwords); </w:t>
      </w:r>
      <w:hyperlink r:id="rId74" w:history="1">
        <w:r>
          <w:rPr>
            <w:rFonts w:ascii="Times New Roman" w:hAnsi="Times New Roman" w:cs="Times New Roman"/>
            <w:i/>
            <w:iCs/>
            <w:color w:val="0000FF"/>
            <w:sz w:val="20"/>
            <w:szCs w:val="20"/>
          </w:rPr>
          <w:t>Anthony v. Atlantic Gr., Inc.,</w:t>
        </w:r>
        <w:r>
          <w:rPr>
            <w:rFonts w:ascii="Times New Roman" w:hAnsi="Times New Roman" w:cs="Times New Roman"/>
            <w:color w:val="0000FF"/>
            <w:sz w:val="20"/>
            <w:szCs w:val="20"/>
          </w:rPr>
          <w:t xml:space="preserve"> No. 09–CV–2942, </w:t>
        </w:r>
        <w:r>
          <w:rPr>
            <w:rFonts w:ascii="Times New Roman" w:hAnsi="Times New Roman" w:cs="Times New Roman"/>
            <w:color w:val="0000FF"/>
            <w:sz w:val="20"/>
            <w:szCs w:val="20"/>
          </w:rPr>
          <w:t>2012 WL 4009490, at *2 (D.S.C. Sept. 12, 2012)</w:t>
        </w:r>
      </w:hyperlink>
      <w:r>
        <w:rPr>
          <w:rFonts w:ascii="Times New Roman" w:hAnsi="Times New Roman" w:cs="Times New Roman"/>
          <w:color w:val="000000"/>
          <w:sz w:val="20"/>
          <w:szCs w:val="20"/>
        </w:rPr>
        <w:t xml:space="preserve"> (directing plaintiff to access and produce social networking postings directly as opposed to having defendant seek the information from the service providers); </w:t>
      </w:r>
      <w:hyperlink r:id="rId75" w:history="1">
        <w:r>
          <w:rPr>
            <w:rFonts w:ascii="Times New Roman" w:hAnsi="Times New Roman" w:cs="Times New Roman"/>
            <w:i/>
            <w:iCs/>
            <w:color w:val="0000FF"/>
            <w:sz w:val="20"/>
            <w:szCs w:val="20"/>
          </w:rPr>
          <w:t>In re White Tail Oilfield Ser</w:t>
        </w:r>
        <w:r>
          <w:rPr>
            <w:rFonts w:ascii="Times New Roman" w:hAnsi="Times New Roman" w:cs="Times New Roman"/>
            <w:i/>
            <w:iCs/>
            <w:color w:val="0000FF"/>
            <w:sz w:val="20"/>
            <w:szCs w:val="20"/>
          </w:rPr>
          <w:t>vs., L.L.C.,</w:t>
        </w:r>
        <w:r>
          <w:rPr>
            <w:rFonts w:ascii="Times New Roman" w:hAnsi="Times New Roman" w:cs="Times New Roman"/>
            <w:color w:val="0000FF"/>
            <w:sz w:val="20"/>
            <w:szCs w:val="20"/>
          </w:rPr>
          <w:t xml:space="preserve"> No. 11–CV–0009, 2012 WL 4857777, at *3 (E.D.La. Oct. 11, 2012)</w:t>
        </w:r>
      </w:hyperlink>
      <w:r>
        <w:rPr>
          <w:rFonts w:ascii="Times New Roman" w:hAnsi="Times New Roman" w:cs="Times New Roman"/>
          <w:color w:val="000000"/>
          <w:sz w:val="20"/>
          <w:szCs w:val="20"/>
        </w:rPr>
        <w:t xml:space="preserve"> (directing party to download and produce Facebook information); </w:t>
      </w:r>
      <w:hyperlink r:id="rId76" w:history="1">
        <w:r>
          <w:rPr>
            <w:rFonts w:ascii="Times New Roman" w:hAnsi="Times New Roman" w:cs="Times New Roman"/>
            <w:i/>
            <w:iCs/>
            <w:color w:val="0000FF"/>
            <w:sz w:val="20"/>
            <w:szCs w:val="20"/>
          </w:rPr>
          <w:t>In re Air Crash Near Clarence Ctr., New York,</w:t>
        </w:r>
        <w:r>
          <w:rPr>
            <w:rFonts w:ascii="Times New Roman" w:hAnsi="Times New Roman" w:cs="Times New Roman"/>
            <w:color w:val="0000FF"/>
            <w:sz w:val="20"/>
            <w:szCs w:val="20"/>
          </w:rPr>
          <w:t xml:space="preserve"> No. 09–md–2085, 2011 WL 6370189, at *6 (W.D.N.Y. D</w:t>
        </w:r>
        <w:r>
          <w:rPr>
            <w:rFonts w:ascii="Times New Roman" w:hAnsi="Times New Roman" w:cs="Times New Roman"/>
            <w:color w:val="0000FF"/>
            <w:sz w:val="20"/>
            <w:szCs w:val="20"/>
          </w:rPr>
          <w:t>ec. 20, 2011)</w:t>
        </w:r>
      </w:hyperlink>
      <w:r>
        <w:rPr>
          <w:rFonts w:ascii="Times New Roman" w:hAnsi="Times New Roman" w:cs="Times New Roman"/>
          <w:color w:val="000000"/>
          <w:sz w:val="20"/>
          <w:szCs w:val="20"/>
        </w:rPr>
        <w:t xml:space="preserve"> (denying request for authorizations subject to renewal if plaintiff’s production was insufficient). This Court finds the approach utilized in </w:t>
      </w:r>
      <w:r>
        <w:rPr>
          <w:rFonts w:ascii="Times New Roman" w:hAnsi="Times New Roman" w:cs="Times New Roman"/>
          <w:i/>
          <w:iCs/>
          <w:color w:val="000000"/>
          <w:sz w:val="20"/>
          <w:szCs w:val="20"/>
        </w:rPr>
        <w:t>Howell</w:t>
      </w:r>
      <w:r>
        <w:rPr>
          <w:rFonts w:ascii="Times New Roman" w:hAnsi="Times New Roman" w:cs="Times New Roman"/>
          <w:color w:val="000000"/>
          <w:sz w:val="20"/>
          <w:szCs w:val="20"/>
        </w:rPr>
        <w:t xml:space="preserve"> to be persuasive and reasonable. Therefore, the Court directs that Plaintiffs postings be </w:t>
      </w:r>
      <w:r>
        <w:rPr>
          <w:rFonts w:ascii="Times New Roman" w:hAnsi="Times New Roman" w:cs="Times New Roman"/>
          <w:color w:val="000000"/>
          <w:sz w:val="20"/>
          <w:szCs w:val="20"/>
        </w:rPr>
        <w:t>reviewed for relevance by Plaintiff’s counsel and that Plaintiff’s counsel</w:t>
      </w:r>
      <w:r>
        <w:rPr>
          <w:rFonts w:ascii="Times New Roman" w:hAnsi="Times New Roman" w:cs="Times New Roman"/>
          <w:color w:val="000000"/>
          <w:sz w:val="20"/>
          <w:szCs w:val="20"/>
        </w:rPr>
        <w:t>—</w:t>
      </w:r>
      <w:r>
        <w:rPr>
          <w:rFonts w:ascii="Times New Roman" w:hAnsi="Times New Roman" w:cs="Times New Roman"/>
          <w:i/>
          <w:iCs/>
          <w:color w:val="000000"/>
          <w:sz w:val="20"/>
          <w:szCs w:val="20"/>
        </w:rPr>
        <w:t>not Plaintiff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make a determination regarding the relevance of the postings, keeping in mind the broad scope of discovery contemplated under </w:t>
      </w:r>
      <w:hyperlink r:id="rId77" w:history="1">
        <w:r>
          <w:rPr>
            <w:rFonts w:ascii="Times New Roman" w:hAnsi="Times New Roman" w:cs="Times New Roman"/>
            <w:color w:val="0000FF"/>
            <w:sz w:val="20"/>
            <w:szCs w:val="20"/>
          </w:rPr>
          <w:t>Rule 26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78" w:history="1">
        <w:r>
          <w:rPr>
            <w:rFonts w:ascii="Times New Roman" w:hAnsi="Times New Roman" w:cs="Times New Roman"/>
            <w:i/>
            <w:iCs/>
            <w:color w:val="0000FF"/>
            <w:sz w:val="20"/>
            <w:szCs w:val="20"/>
          </w:rPr>
          <w:t>Sourdiff,</w:t>
        </w:r>
        <w:r>
          <w:rPr>
            <w:rFonts w:ascii="Times New Roman" w:hAnsi="Times New Roman" w:cs="Times New Roman"/>
            <w:color w:val="0000FF"/>
            <w:sz w:val="20"/>
            <w:szCs w:val="20"/>
          </w:rPr>
          <w:t xml:space="preserve"> 2011 WL 7560647, at * 1</w:t>
        </w:r>
      </w:hyperlink>
      <w:r>
        <w:rPr>
          <w:rFonts w:ascii="Times New Roman" w:hAnsi="Times New Roman" w:cs="Times New Roman"/>
          <w:color w:val="000000"/>
          <w:sz w:val="20"/>
          <w:szCs w:val="20"/>
        </w:rPr>
        <w:t xml:space="preserve"> (directing plaintiff’s counsel to review plaintiff’s social networking information for production); </w:t>
      </w:r>
      <w:hyperlink r:id="rId79" w:history="1">
        <w:r>
          <w:rPr>
            <w:rFonts w:ascii="Times New Roman" w:hAnsi="Times New Roman" w:cs="Times New Roman"/>
            <w:i/>
            <w:iCs/>
            <w:color w:val="0000FF"/>
            <w:sz w:val="20"/>
            <w:szCs w:val="20"/>
          </w:rPr>
          <w:t>Rozell,</w:t>
        </w:r>
        <w:r>
          <w:rPr>
            <w:rFonts w:ascii="Times New Roman" w:hAnsi="Times New Roman" w:cs="Times New Roman"/>
            <w:color w:val="0000FF"/>
            <w:sz w:val="20"/>
            <w:szCs w:val="20"/>
          </w:rPr>
          <w:t xml:space="preserve"> 2006 WL 163143, at *4</w:t>
        </w:r>
      </w:hyperlink>
      <w:r>
        <w:rPr>
          <w:rFonts w:ascii="Times New Roman" w:hAnsi="Times New Roman" w:cs="Times New Roman"/>
          <w:color w:val="000000"/>
          <w:sz w:val="20"/>
          <w:szCs w:val="20"/>
        </w:rPr>
        <w:t xml:space="preserve"> (holding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counsel for the producing party is the judge of </w:t>
      </w:r>
      <w:r>
        <w:rPr>
          <w:rFonts w:ascii="Times New Roman" w:hAnsi="Times New Roman" w:cs="Times New Roman"/>
          <w:color w:val="000000"/>
          <w:sz w:val="20"/>
          <w:szCs w:val="20"/>
        </w:rPr>
        <w:t>relevance in the first instance</w:t>
      </w:r>
      <w:r>
        <w:rPr>
          <w:rFonts w:ascii="Times New Roman" w:hAnsi="Times New Roman" w:cs="Times New Roman"/>
          <w:color w:val="000000"/>
          <w:sz w:val="20"/>
          <w:szCs w:val="20"/>
        </w:rPr>
        <w:t>”</w:t>
      </w:r>
      <w:r>
        <w:rPr>
          <w:rFonts w:ascii="Times New Roman" w:hAnsi="Times New Roman" w:cs="Times New Roman"/>
          <w:color w:val="000000"/>
          <w:sz w:val="20"/>
          <w:szCs w:val="20"/>
        </w:rPr>
        <w:t>). The review and production of any relevant material is to be completed within 21 days.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SO ORDERED.</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C27DE">
      <w:pPr>
        <w:widowControl w:val="0"/>
        <w:autoSpaceDE w:val="0"/>
        <w:autoSpaceDN w:val="0"/>
        <w:adjustRightInd w:val="0"/>
        <w:spacing w:before="400" w:after="200" w:line="240" w:lineRule="auto"/>
        <w:jc w:val="both"/>
        <w:rPr>
          <w:rFonts w:ascii="Times New Roman" w:hAnsi="Times New Roman" w:cs="Times New Roman"/>
          <w:b/>
          <w:bCs/>
          <w:color w:val="212121"/>
          <w:sz w:val="20"/>
          <w:szCs w:val="20"/>
        </w:rPr>
      </w:pPr>
      <w:bookmarkStart w:id="48" w:name="co_allCitations_1"/>
      <w:bookmarkEnd w:id="48"/>
      <w:r>
        <w:rPr>
          <w:rFonts w:ascii="Times New Roman" w:hAnsi="Times New Roman" w:cs="Times New Roman"/>
          <w:b/>
          <w:bCs/>
          <w:color w:val="212121"/>
          <w:sz w:val="20"/>
          <w:szCs w:val="20"/>
        </w:rPr>
        <w:t>All Citations</w:t>
      </w:r>
    </w:p>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293 F.R.D. 112, 297 Ed. Law Rep. 946</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7C27DE">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rsidR="00000000" w:rsidRDefault="007C27DE">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7C27DE">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2018 Thomson Reuters. No claim to original U.S. Government Works.</w:t>
            </w:r>
          </w:p>
          <w:p w:rsidR="00000000" w:rsidRDefault="007C27DE">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p>
        </w:tc>
      </w:tr>
    </w:tbl>
    <w:p w:rsidR="00000000" w:rsidRDefault="007C27DE">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C27DE">
      <w:pPr>
        <w:widowControl w:val="0"/>
        <w:autoSpaceDE w:val="0"/>
        <w:autoSpaceDN w:val="0"/>
        <w:adjustRightInd w:val="0"/>
        <w:spacing w:after="0" w:line="240" w:lineRule="auto"/>
        <w:rPr>
          <w:rFonts w:ascii="Arial" w:hAnsi="Arial" w:cs="Arial"/>
          <w:sz w:val="24"/>
          <w:szCs w:val="24"/>
        </w:rPr>
      </w:pPr>
    </w:p>
    <w:sectPr w:rsidR="0000000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27DE">
      <w:pPr>
        <w:spacing w:after="0" w:line="240" w:lineRule="auto"/>
      </w:pPr>
      <w:r>
        <w:separator/>
      </w:r>
    </w:p>
  </w:endnote>
  <w:endnote w:type="continuationSeparator" w:id="0">
    <w:p w:rsidR="00000000" w:rsidRDefault="007C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7C27DE">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3585"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95250"/>
                        </a:xfrm>
                        <a:prstGeom prst="rect">
                          <a:avLst/>
                        </a:prstGeom>
                        <a:noFill/>
                        <a:ln>
                          <a:noFill/>
                        </a:ln>
                      </pic:spPr>
                    </pic:pic>
                  </a:graphicData>
                </a:graphic>
              </wp:inline>
            </w:drawing>
          </w:r>
          <w:r>
            <w:rPr>
              <w:rFonts w:ascii="Arial" w:hAnsi="Arial" w:cs="Arial"/>
              <w:color w:val="AAAAAA"/>
              <w:sz w:val="20"/>
              <w:szCs w:val="20"/>
            </w:rPr>
            <w:t xml:space="preserve"> </w:t>
          </w:r>
          <w:r>
            <w:rPr>
              <w:rFonts w:ascii="Arial" w:hAnsi="Arial" w:cs="Arial"/>
              <w:color w:val="AAAAAA"/>
              <w:sz w:val="20"/>
              <w:szCs w:val="20"/>
            </w:rPr>
            <w:t>©</w:t>
          </w:r>
          <w:r>
            <w:rPr>
              <w:rFonts w:ascii="Arial" w:hAnsi="Arial" w:cs="Arial"/>
              <w:color w:val="AAAAAA"/>
              <w:sz w:val="20"/>
              <w:szCs w:val="20"/>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7C27DE">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7C27DE">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27DE">
      <w:pPr>
        <w:spacing w:after="0" w:line="240" w:lineRule="auto"/>
      </w:pPr>
      <w:r>
        <w:separator/>
      </w:r>
    </w:p>
  </w:footnote>
  <w:footnote w:type="continuationSeparator" w:id="0">
    <w:p w:rsidR="00000000" w:rsidRDefault="007C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7C27DE">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Giacchetto v. Patchogue-Medford Union Free School Dist., 293 F.R.D. 112 (2013)</w:t>
          </w:r>
        </w:p>
      </w:tc>
      <w:tc>
        <w:tcPr>
          <w:tcW w:w="700" w:type="dxa"/>
          <w:tcBorders>
            <w:top w:val="nil"/>
            <w:left w:val="nil"/>
            <w:bottom w:val="single" w:sz="8" w:space="0" w:color="AAAAAA"/>
            <w:right w:val="nil"/>
          </w:tcBorders>
          <w:tcMar>
            <w:top w:w="400" w:type="dxa"/>
            <w:bottom w:w="60" w:type="dxa"/>
          </w:tcMar>
        </w:tcPr>
        <w:p w:rsidR="00000000" w:rsidRDefault="007C27DE">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7C27DE">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297 Ed. Law Rep. 946</w:t>
          </w:r>
        </w:p>
      </w:tc>
    </w:tr>
  </w:tbl>
  <w:p w:rsidR="00000000" w:rsidRDefault="007C27DE">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DE"/>
    <w:rsid w:val="007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577A33-7348-49F9-8BCB-E30D96F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26" Type="http://schemas.openxmlformats.org/officeDocument/2006/relationships/hyperlink" Target="http://www.westlaw.com/Link/Document/FullText?findType=h&amp;pubNum=176284&amp;cite=0441219301&amp;originatingDoc=Icce27f29d61111e2a555d241dae65084&amp;refType=RQ&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2009556721&amp;pubNum=344&amp;originatingDoc=Icce27f29d61111e2a555d241dae65084&amp;refType=RP&amp;fi=co_pp_sp_344_40&amp;originationContext=document&amp;vr=3.0&amp;rs=cblt1.0&amp;transitionType=DocumentItem&amp;contextData=(sc.UserEnteredCitation)#co_pp_sp_344_40" TargetMode="External"/><Relationship Id="rId21"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34" Type="http://schemas.openxmlformats.org/officeDocument/2006/relationships/hyperlink" Target="#co_anchor_F12030790613_1" TargetMode="External"/><Relationship Id="rId42" Type="http://schemas.openxmlformats.org/officeDocument/2006/relationships/hyperlink" Target="http://www.westlaw.com/Link/Document/FullText?findType=Y&amp;serNum=2028584406&amp;pubNum=344&amp;originatingDoc=Icce27f29d61111e2a555d241dae65084&amp;refType=RP&amp;fi=co_pp_sp_344_570&amp;originationContext=document&amp;vr=3.0&amp;rs=cblt1.0&amp;transitionType=DocumentItem&amp;contextData=(sc.UserEnteredCitation)#co_pp_sp_344_570" TargetMode="External"/><Relationship Id="rId47" Type="http://schemas.openxmlformats.org/officeDocument/2006/relationships/hyperlink" Target="http://www.westlaw.com/Link/Document/FullText?findType=Y&amp;serNum=2023136414&amp;pubNum=602&amp;originatingDoc=Icce27f29d61111e2a555d241dae65084&amp;refType=RP&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2028514537&amp;pubNum=0000999&amp;originatingDoc=Icce27f29d61111e2a555d241dae65084&amp;refType=RP&amp;originationContext=document&amp;vr=3.0&amp;rs=cblt1.0&amp;transitionType=DocumentItem&amp;contextData=(sc.UserEnteredCitation)" TargetMode="External"/><Relationship Id="rId55" Type="http://schemas.openxmlformats.org/officeDocument/2006/relationships/hyperlink" Target="http://www.westlaw.com/Link/Document/FullText?findType=Y&amp;serNum=2008254325&amp;pubNum=999&amp;originatingDoc=Icce27f29d61111e2a555d241dae65084&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0371247663&amp;pubNum=191623&amp;originatingDoc=Icce27f29d61111e2a555d241dae65084&amp;refType=LR&amp;fi=co_pp_sp_191623_365&amp;originationContext=document&amp;vr=3.0&amp;rs=cblt1.0&amp;transitionType=DocumentItem&amp;contextData=(sc.UserEnteredCitation)#co_pp_sp_191623_365" TargetMode="External"/><Relationship Id="rId68" Type="http://schemas.openxmlformats.org/officeDocument/2006/relationships/hyperlink" Target="http://www.westlaw.com/Link/Document/FullText?findType=Y&amp;serNum=2025548235&amp;pubNum=0000999&amp;originatingDoc=Icce27f29d61111e2a555d241dae65084&amp;refType=RP&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2026713135&amp;pubNum=0000999&amp;originatingDoc=Icce27f29d61111e2a555d241dae65084&amp;refType=RP&amp;originationContext=document&amp;vr=3.0&amp;rs=cblt1.0&amp;transitionType=DocumentItem&amp;contextData=(sc.UserEnteredCitation)" TargetMode="External"/><Relationship Id="rId7" Type="http://schemas.openxmlformats.org/officeDocument/2006/relationships/footer" Target="footer1.xml"/><Relationship Id="rId71" Type="http://schemas.openxmlformats.org/officeDocument/2006/relationships/hyperlink" Target="http://www.westlaw.com/Link/Document/FullText?findType=Y&amp;serNum=2028584406&amp;pubNum=344&amp;originatingDoc=Icce27f29d61111e2a555d241dae65084&amp;refType=RP&amp;fi=co_pp_sp_344_572&amp;originationContext=document&amp;vr=3.0&amp;rs=cblt1.0&amp;transitionType=DocumentItem&amp;contextData=(sc.UserEnteredCitation)#co_pp_sp_344_572" TargetMode="External"/><Relationship Id="rId2" Type="http://schemas.openxmlformats.org/officeDocument/2006/relationships/settings" Target="settings.xml"/><Relationship Id="rId16" Type="http://schemas.openxmlformats.org/officeDocument/2006/relationships/hyperlink" Target="http://www.westlaw.com/Browse/Home/KeyNumber/170A/View.html?docGuid=Icce27f29d61111e2a555d241dae65084&amp;originationContext=document&amp;vr=3.0&amp;rs=cblt1.0&amp;transitionType=DocumentItem&amp;contextData=(sc.UserEnteredCitation)" TargetMode="External"/><Relationship Id="rId29" Type="http://schemas.openxmlformats.org/officeDocument/2006/relationships/hyperlink" Target="http://www.westlaw.com/Link/Document/FullText?findType=h&amp;pubNum=176284&amp;cite=0238790801&amp;originatingDoc=Icce27f29d61111e2a555d241dae65084&amp;refType=RQ&amp;originationContext=document&amp;vr=3.0&amp;rs=cblt1.0&amp;transitionType=DocumentItem&amp;contextData=(sc.UserEnteredCitation)" TargetMode="External"/><Relationship Id="rId11" Type="http://schemas.openxmlformats.org/officeDocument/2006/relationships/hyperlink" Target="#co_anchor_F42030790613_1" TargetMode="External"/><Relationship Id="rId24"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32" Type="http://schemas.openxmlformats.org/officeDocument/2006/relationships/hyperlink" Target="http://www.westlaw.com/Link/Document/FullText?findType=L&amp;pubNum=1000078&amp;cite=NYEXS290&amp;originatingDoc=Icce27f29d61111e2a555d241dae65084&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978139484&amp;pubNum=708&amp;originatingDoc=Icce27f29d61111e2a555d241dae65084&amp;refType=RP&amp;originationContext=document&amp;vr=3.0&amp;rs=cblt1.0&amp;transitionType=DocumentItem&amp;contextData=(sc.UserEnteredCitation)" TargetMode="External"/><Relationship Id="rId40" Type="http://schemas.openxmlformats.org/officeDocument/2006/relationships/hyperlink" Target="http://www.westlaw.com/Link/Document/FullText?findType=Y&amp;serNum=2026284930&amp;pubNum=0000999&amp;originatingDoc=Icce27f29d61111e2a555d241dae65084&amp;refType=RP&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2029559106&amp;pubNum=0000999&amp;originatingDoc=Icce27f29d61111e2a555d241dae65084&amp;refType=RP&amp;originationContext=document&amp;vr=3.0&amp;rs=cblt1.0&amp;transitionType=DocumentItem&amp;contextData=(sc.UserEnteredCitation)" TargetMode="External"/><Relationship Id="rId53" Type="http://schemas.openxmlformats.org/officeDocument/2006/relationships/hyperlink" Target="http://www.westlaw.com/Link/Document/FullText?findType=Y&amp;serNum=2027804338&amp;pubNum=344&amp;originatingDoc=Icce27f29d61111e2a555d241dae65084&amp;refType=RP&amp;fi=co_pp_sp_344_344&amp;originationContext=document&amp;vr=3.0&amp;rs=cblt1.0&amp;transitionType=DocumentItem&amp;contextData=(sc.UserEnteredCitation)#co_pp_sp_344_344" TargetMode="External"/><Relationship Id="rId58" Type="http://schemas.openxmlformats.org/officeDocument/2006/relationships/hyperlink" Target="http://www.westlaw.com/Link/Document/FullText?findType=Y&amp;serNum=2025548235&amp;pubNum=999&amp;originatingDoc=Icce27f29d61111e2a555d241dae65084&amp;refType=RP&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2029922820&amp;pubNum=0000999&amp;originatingDoc=Icce27f29d61111e2a555d241dae65084&amp;refType=RP&amp;originationContext=document&amp;vr=3.0&amp;rs=cblt1.0&amp;transitionType=DocumentItem&amp;contextData=(sc.UserEnteredCitation)" TargetMode="External"/><Relationship Id="rId74" Type="http://schemas.openxmlformats.org/officeDocument/2006/relationships/hyperlink" Target="http://www.westlaw.com/Link/Document/FullText?findType=Y&amp;serNum=2028600487&amp;pubNum=999&amp;originatingDoc=Icce27f29d61111e2a555d241dae65084&amp;refType=RP&amp;originationContext=document&amp;vr=3.0&amp;rs=cblt1.0&amp;transitionType=DocumentItem&amp;contextData=(sc.UserEnteredCitation)" TargetMode="External"/><Relationship Id="rId79" Type="http://schemas.openxmlformats.org/officeDocument/2006/relationships/hyperlink" Target="http://www.westlaw.com/Link/Document/FullText?findType=Y&amp;serNum=2008254325&amp;pubNum=0000999&amp;originatingDoc=Icce27f29d61111e2a555d241dae65084&amp;refType=RP&amp;originationContext=document&amp;vr=3.0&amp;rs=cblt1.0&amp;transitionType=DocumentItem&amp;contextData=(sc.UserEnteredCitation)" TargetMode="External"/><Relationship Id="rId5" Type="http://schemas.openxmlformats.org/officeDocument/2006/relationships/endnotes" Target="endnotes.xml"/><Relationship Id="rId61" Type="http://schemas.openxmlformats.org/officeDocument/2006/relationships/hyperlink" Target="http://www.westlaw.com/Link/Document/FullText?findType=Y&amp;serNum=2025548235&amp;originatingDoc=Icce27f29d61111e2a555d241dae65084&amp;refType=RP&amp;originationContext=document&amp;vr=3.0&amp;rs=cblt1.0&amp;transitionType=DocumentItem&amp;contextData=(sc.UserEnteredCitation)" TargetMode="External"/><Relationship Id="rId10" Type="http://schemas.openxmlformats.org/officeDocument/2006/relationships/hyperlink" Target="#co_anchor_F32030790613_1" TargetMode="External"/><Relationship Id="rId19" Type="http://schemas.openxmlformats.org/officeDocument/2006/relationships/hyperlink" Target="http://www.westlaw.com/Browse/Home/KeyNumber/170A/View.html?docGuid=Icce27f29d61111e2a555d241dae65084&amp;originationContext=document&amp;vr=3.0&amp;rs=cblt1.0&amp;transitionType=DocumentItem&amp;contextData=(sc.UserEnteredCitation)" TargetMode="External"/><Relationship Id="rId31" Type="http://schemas.openxmlformats.org/officeDocument/2006/relationships/hyperlink" Target="http://www.westlaw.com/Link/Document/FullText?findType=L&amp;pubNum=1000546&amp;cite=42USCAS12101&amp;originatingDoc=Icce27f29d61111e2a555d241dae65084&amp;refType=LQ&amp;originationContext=document&amp;vr=3.0&amp;rs=cblt1.0&amp;transitionType=DocumentItem&amp;contextData=(sc.UserEnteredCitation)" TargetMode="External"/><Relationship Id="rId44" Type="http://schemas.openxmlformats.org/officeDocument/2006/relationships/hyperlink" Target="http://www.westlaw.com/Link/Document/FullText?findType=Y&amp;serNum=2030195165&amp;pubNum=0000999&amp;originatingDoc=Icce27f29d61111e2a555d241dae65084&amp;refType=RP&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2028584406&amp;pubNum=344&amp;originatingDoc=Icce27f29d61111e2a555d241dae65084&amp;refType=RP&amp;fi=co_pp_sp_344_571&amp;originationContext=document&amp;vr=3.0&amp;rs=cblt1.0&amp;transitionType=DocumentItem&amp;contextData=(sc.UserEnteredCitation)#co_pp_sp_344_571" TargetMode="External"/><Relationship Id="rId60" Type="http://schemas.openxmlformats.org/officeDocument/2006/relationships/hyperlink" Target="http://www.westlaw.com/Link/Document/FullText?findType=Y&amp;serNum=2025548235&amp;originatingDoc=Icce27f29d61111e2a555d241dae65084&amp;refType=RP&amp;originationContext=document&amp;vr=3.0&amp;rs=cblt1.0&amp;transitionType=DocumentItem&amp;contextData=(sc.UserEnteredCitation)" TargetMode="External"/><Relationship Id="rId65" Type="http://schemas.openxmlformats.org/officeDocument/2006/relationships/hyperlink" Target="http://www.westlaw.com/Link/Document/FullText?findType=Y&amp;serNum=2007378696&amp;pubNum=344&amp;originatingDoc=Icce27f29d61111e2a555d241dae65084&amp;refType=RP&amp;fi=co_pp_sp_344_435&amp;originationContext=document&amp;vr=3.0&amp;rs=cblt1.0&amp;transitionType=DocumentItem&amp;contextData=(sc.UserEnteredCitation)#co_pp_sp_344_435" TargetMode="External"/><Relationship Id="rId73" Type="http://schemas.openxmlformats.org/officeDocument/2006/relationships/hyperlink" Target="http://www.westlaw.com/Link/Document/FullText?findType=Y&amp;serNum=2007375778&amp;pubNum=0000999&amp;originatingDoc=Icce27f29d61111e2a555d241dae65084&amp;refType=RP&amp;originationContext=document&amp;vr=3.0&amp;rs=cblt1.0&amp;transitionType=DocumentItem&amp;contextData=(sc.UserEnteredCitation)" TargetMode="External"/><Relationship Id="rId78" Type="http://schemas.openxmlformats.org/officeDocument/2006/relationships/hyperlink" Target="http://www.westlaw.com/Link/Document/FullText?findType=Y&amp;serNum=2027345633&amp;pubNum=0000999&amp;originatingDoc=Icce27f29d61111e2a555d241dae65084&amp;refType=RP&amp;originationContext=document&amp;vr=3.0&amp;rs=cblt1.0&amp;transitionType=DocumentItem&amp;contextData=(sc.UserEnteredCitation)"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_anchor_F22030790613_1" TargetMode="External"/><Relationship Id="rId14" Type="http://schemas.openxmlformats.org/officeDocument/2006/relationships/hyperlink" Target="http://www.westlaw.com/Browse/Home/KeyNumber/170Ak1272/View.html?docGuid=Icce27f29d61111e2a555d241dae65084&amp;originationContext=document&amp;vr=3.0&amp;rs=cblt1.0&amp;transitionType=DocumentItem&amp;contextData=(sc.UserEnteredCitation)" TargetMode="External"/><Relationship Id="rId22" Type="http://schemas.openxmlformats.org/officeDocument/2006/relationships/hyperlink" Target="http://www.westlaw.com/Browse/Home/KeyNumber/170A/View.html?docGuid=Icce27f29d61111e2a555d241dae65084&amp;originationContext=document&amp;vr=3.0&amp;rs=cblt1.0&amp;transitionType=DocumentItem&amp;contextData=(sc.UserEnteredCitation)" TargetMode="External"/><Relationship Id="rId27" Type="http://schemas.openxmlformats.org/officeDocument/2006/relationships/hyperlink" Target="http://www.westlaw.com/Link/Document/FullText?findType=h&amp;pubNum=176284&amp;cite=0352178001&amp;originatingDoc=Icce27f29d61111e2a555d241dae65084&amp;refType=RQ&amp;originationContext=document&amp;vr=3.0&amp;rs=cblt1.0&amp;transitionType=DocumentItem&amp;contextData=(sc.UserEnteredCitation)" TargetMode="External"/><Relationship Id="rId30" Type="http://schemas.openxmlformats.org/officeDocument/2006/relationships/hyperlink" Target="http://www.westlaw.com/Link/Document/FullText?findType=h&amp;pubNum=176284&amp;cite=0148797201&amp;originatingDoc=Icce27f29d61111e2a555d241dae65084&amp;refType=RQ&amp;originationContext=document&amp;vr=3.0&amp;rs=cblt1.0&amp;transitionType=DocumentItem&amp;contextData=(sc.UserEnteredCitation)" TargetMode="External"/><Relationship Id="rId35"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2007375778&amp;pubNum=0000999&amp;originatingDoc=Icce27f29d61111e2a555d241dae65084&amp;refType=RP&amp;originationContext=document&amp;vr=3.0&amp;rs=cblt1.0&amp;transitionType=DocumentItem&amp;contextData=(sc.UserEnteredCitation)" TargetMode="External"/><Relationship Id="rId48" Type="http://schemas.openxmlformats.org/officeDocument/2006/relationships/hyperlink" Target="#co_anchor_F22030790613_1" TargetMode="External"/><Relationship Id="rId56" Type="http://schemas.openxmlformats.org/officeDocument/2006/relationships/hyperlink" Target="http://www.westlaw.com/Link/Document/FullText?findType=Y&amp;serNum=2030531653&amp;pubNum=0000999&amp;originatingDoc=Icce27f29d61111e2a555d241dae65084&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Y&amp;serNum=2027804338&amp;pubNum=344&amp;originatingDoc=Icce27f29d61111e2a555d241dae65084&amp;refType=RP&amp;fi=co_pp_sp_344_344&amp;originationContext=document&amp;vr=3.0&amp;rs=cblt1.0&amp;transitionType=DocumentItem&amp;contextData=(sc.UserEnteredCitation)#co_pp_sp_344_344" TargetMode="External"/><Relationship Id="rId69" Type="http://schemas.openxmlformats.org/officeDocument/2006/relationships/hyperlink" Target="#co_anchor_F32030790613_1" TargetMode="External"/><Relationship Id="rId77"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8" Type="http://schemas.openxmlformats.org/officeDocument/2006/relationships/hyperlink" Target="http://www.westlaw.com/Link/Document/FullText?findType=h&amp;pubNum=176284&amp;cite=0148797201&amp;originatingDoc=Icce27f29d61111e2a555d241dae65084&amp;refType=RQ&amp;originationContext=document&amp;vr=3.0&amp;rs=cblt1.0&amp;transitionType=DocumentItem&amp;contextData=(sc.UserEnteredCitation)" TargetMode="External"/><Relationship Id="rId51" Type="http://schemas.openxmlformats.org/officeDocument/2006/relationships/hyperlink" Target="http://www.westlaw.com/Link/Document/FullText?findType=Y&amp;serNum=2027345633&amp;pubNum=0000999&amp;originatingDoc=Icce27f29d61111e2a555d241dae65084&amp;refType=RP&amp;originationContext=document&amp;vr=3.0&amp;rs=cblt1.0&amp;transitionType=DocumentItem&amp;contextData=(sc.UserEnteredCitation)" TargetMode="External"/><Relationship Id="rId72" Type="http://schemas.openxmlformats.org/officeDocument/2006/relationships/hyperlink" Target="#co_anchor_F42030790613_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westlaw.com/Browse/Home/KeyNumber/170A/View.html?docGuid=Icce27f29d61111e2a555d241dae65084&amp;originationContext=document&amp;vr=3.0&amp;rs=cblt1.0&amp;transitionType=DocumentItem&amp;contextData=(sc.UserEnteredCitation)" TargetMode="External"/><Relationship Id="rId17" Type="http://schemas.openxmlformats.org/officeDocument/2006/relationships/hyperlink" Target="http://www.westlaw.com/Browse/Home/KeyNumber/170AX(E)3/View.html?docGuid=Icce27f29d61111e2a555d241dae65084&amp;originationContext=document&amp;vr=3.0&amp;rs=cblt1.0&amp;transitionType=DocumentItem&amp;contextData=(sc.UserEnteredCitation)" TargetMode="External"/><Relationship Id="rId25" Type="http://schemas.openxmlformats.org/officeDocument/2006/relationships/hyperlink" Target="http://www.westlaw.com/Link/Document/FullText?findType=h&amp;pubNum=176284&amp;cite=0158811301&amp;originatingDoc=Icce27f29d61111e2a555d241dae65084&amp;refType=RQ&amp;originationContext=document&amp;vr=3.0&amp;rs=cblt1.0&amp;transitionType=DocumentItem&amp;contextData=(sc.UserEnteredCitation)" TargetMode="External"/><Relationship Id="rId33" Type="http://schemas.openxmlformats.org/officeDocument/2006/relationships/hyperlink" Target="http://www.westlaw.com/Link/Document/FullText?entityType=disease&amp;entityId=Ibacf3c27475411db9765f9243f53508a&amp;originationContext=document&amp;transitionType=DocumentItem&amp;contextData=(sc.Default)&amp;vr=3.0&amp;rs=cblt1.0" TargetMode="External"/><Relationship Id="rId38" Type="http://schemas.openxmlformats.org/officeDocument/2006/relationships/hyperlink" Target="http://www.westlaw.com/Link/Document/FullText?findType=Y&amp;serNum=1989121719&amp;pubNum=350&amp;originatingDoc=Icce27f29d61111e2a555d241dae65084&amp;refType=RP&amp;fi=co_pp_sp_350_687&amp;originationContext=document&amp;vr=3.0&amp;rs=cblt1.0&amp;transitionType=DocumentItem&amp;contextData=(sc.UserEnteredCitation)#co_pp_sp_350_687" TargetMode="External"/><Relationship Id="rId46" Type="http://schemas.openxmlformats.org/officeDocument/2006/relationships/hyperlink" Target="http://www.westlaw.com/Link/Document/FullText?findType=Y&amp;serNum=2026906356&amp;pubNum=344&amp;originatingDoc=Icce27f29d61111e2a555d241dae65084&amp;refType=RP&amp;fi=co_pp_sp_344_388&amp;originationContext=document&amp;vr=3.0&amp;rs=cblt1.0&amp;transitionType=DocumentItem&amp;contextData=(sc.UserEnteredCitation)#co_pp_sp_344_388" TargetMode="External"/><Relationship Id="rId59" Type="http://schemas.openxmlformats.org/officeDocument/2006/relationships/hyperlink" Target="http://www.westlaw.com/Link/Document/FullText?findType=Y&amp;serNum=2025548235&amp;originatingDoc=Icce27f29d61111e2a555d241dae65084&amp;refType=RP&amp;originationContext=document&amp;vr=3.0&amp;rs=cblt1.0&amp;transitionType=DocumentItem&amp;contextData=(sc.UserEnteredCitation)" TargetMode="External"/><Relationship Id="rId67" Type="http://schemas.openxmlformats.org/officeDocument/2006/relationships/hyperlink" Target="http://www.westlaw.com/Link/Document/FullText?findType=Y&amp;serNum=2027179558&amp;pubNum=0000999&amp;originatingDoc=Icce27f29d61111e2a555d241dae65084&amp;refType=RP&amp;originationContext=document&amp;vr=3.0&amp;rs=cblt1.0&amp;transitionType=DocumentItem&amp;contextData=(sc.UserEnteredCitation)" TargetMode="External"/><Relationship Id="rId20" Type="http://schemas.openxmlformats.org/officeDocument/2006/relationships/hyperlink" Target="http://www.westlaw.com/Browse/Home/KeyNumber/170AX(E)3/View.html?docGuid=Icce27f29d61111e2a555d241dae65084&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2007378696&amp;pubNum=344&amp;originatingDoc=Icce27f29d61111e2a555d241dae65084&amp;refType=RP&amp;fi=co_pp_sp_344_434&amp;originationContext=document&amp;vr=3.0&amp;rs=cblt1.0&amp;transitionType=DocumentItem&amp;contextData=(sc.UserEnteredCitation)#co_pp_sp_344_434" TargetMode="External"/><Relationship Id="rId54" Type="http://schemas.openxmlformats.org/officeDocument/2006/relationships/hyperlink" Target="http://www.westlaw.com/Link/Document/FullText?findType=Y&amp;serNum=2008254325&amp;originatingDoc=Icce27f29d61111e2a555d241dae65084&amp;refType=RP&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2025548235&amp;originatingDoc=Icce27f29d61111e2a555d241dae65084&amp;refType=RP&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2007375778&amp;pubNum=0000999&amp;originatingDoc=Icce27f29d61111e2a555d241dae65084&amp;refType=RP&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2028865266&amp;pubNum=0000999&amp;originatingDoc=Icce27f29d61111e2a555d241dae65084&amp;refType=RP&amp;originationContext=document&amp;vr=3.0&amp;rs=cblt1.0&amp;transitionType=DocumentItem&amp;contextData=(sc.UserEnteredCitation)"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23" Type="http://schemas.openxmlformats.org/officeDocument/2006/relationships/hyperlink" Target="http://www.westlaw.com/Browse/Home/KeyNumber/170AX(E)3/View.html?docGuid=Icce27f29d61111e2a555d241dae65084&amp;originationContext=document&amp;vr=3.0&amp;rs=cblt1.0&amp;transitionType=DocumentItem&amp;contextData=(sc.UserEnteredCitation)" TargetMode="External"/><Relationship Id="rId28" Type="http://schemas.openxmlformats.org/officeDocument/2006/relationships/hyperlink" Target="http://www.westlaw.com/Link/Document/FullText?findType=h&amp;pubNum=176284&amp;cite=0407454401&amp;originatingDoc=Icce27f29d61111e2a555d241dae65084&amp;refType=RQ&amp;originationContext=document&amp;vr=3.0&amp;rs=cblt1.0&amp;transitionType=DocumentItem&amp;contextData=(sc.UserEnteredCitation)" TargetMode="External"/><Relationship Id="rId36" Type="http://schemas.openxmlformats.org/officeDocument/2006/relationships/hyperlink" Target="http://www.westlaw.com/Link/Document/FullText?findType=L&amp;pubNum=1004365&amp;cite=USFRCPR26&amp;originatingDoc=Icce27f29d61111e2a555d241dae65084&amp;refType=LQ&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2029532252&amp;pubNum=0000999&amp;originatingDoc=Icce27f29d61111e2a555d241dae65084&amp;refType=RP&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2025548235&amp;originatingDoc=Icce27f29d61111e2a555d241dae65084&amp;refType=RP&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6175</Words>
  <Characters>35204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Everett</dc:creator>
  <cp:keywords/>
  <dc:description/>
  <cp:lastModifiedBy>Peter Everett</cp:lastModifiedBy>
  <cp:revision>2</cp:revision>
  <dcterms:created xsi:type="dcterms:W3CDTF">2018-05-31T14:38:00Z</dcterms:created>
  <dcterms:modified xsi:type="dcterms:W3CDTF">2018-05-31T14:38:00Z</dcterms:modified>
</cp:coreProperties>
</file>