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0E" w:rsidRPr="001838A1" w:rsidRDefault="0062660E" w:rsidP="0062660E">
      <w:pPr>
        <w:spacing w:after="240"/>
        <w:jc w:val="center"/>
        <w:rPr>
          <w:rFonts w:cs="Times New Roman"/>
          <w:b/>
          <w:szCs w:val="24"/>
        </w:rPr>
      </w:pPr>
      <w:bookmarkStart w:id="0" w:name="_GoBack"/>
      <w:bookmarkEnd w:id="0"/>
      <w:r w:rsidRPr="001838A1">
        <w:rPr>
          <w:rFonts w:cs="Times New Roman"/>
          <w:b/>
          <w:szCs w:val="24"/>
        </w:rPr>
        <w:t>Instruction No. __</w:t>
      </w:r>
      <w:r w:rsidR="00E5128C">
        <w:rPr>
          <w:rFonts w:cs="Times New Roman"/>
          <w:b/>
          <w:szCs w:val="24"/>
        </w:rPr>
        <w:t xml:space="preserve"> [Title IX Instruction on Severe &amp; Pervasive and Lost Educational Opportunities Element]</w:t>
      </w:r>
    </w:p>
    <w:p w:rsidR="0062660E" w:rsidRDefault="0062660E" w:rsidP="0062660E">
      <w:pPr>
        <w:pStyle w:val="FootnoteText"/>
        <w:spacing w:line="480" w:lineRule="auto"/>
        <w:ind w:firstLine="720"/>
        <w:contextualSpacing/>
        <w:jc w:val="both"/>
        <w:rPr>
          <w:rFonts w:cs="Times New Roman"/>
          <w:sz w:val="24"/>
          <w:szCs w:val="24"/>
        </w:rPr>
      </w:pPr>
      <w:r>
        <w:rPr>
          <w:rFonts w:cs="Times New Roman"/>
          <w:sz w:val="24"/>
          <w:szCs w:val="24"/>
        </w:rPr>
        <w:t xml:space="preserve">To </w:t>
      </w:r>
      <w:r w:rsidRPr="001838A1">
        <w:rPr>
          <w:rFonts w:cs="Times New Roman"/>
          <w:sz w:val="24"/>
          <w:szCs w:val="24"/>
        </w:rPr>
        <w:t xml:space="preserve">determine whether </w:t>
      </w:r>
      <w:r w:rsidR="00E5128C">
        <w:rPr>
          <w:rFonts w:cs="Times New Roman"/>
          <w:sz w:val="24"/>
          <w:szCs w:val="24"/>
        </w:rPr>
        <w:t>[Name of Perpetrator]</w:t>
      </w:r>
      <w:r>
        <w:rPr>
          <w:rFonts w:cs="Times New Roman"/>
          <w:sz w:val="24"/>
          <w:szCs w:val="24"/>
        </w:rPr>
        <w:t xml:space="preserve">’s alleged harassment of </w:t>
      </w:r>
      <w:r w:rsidR="00E5128C">
        <w:rPr>
          <w:rFonts w:cs="Times New Roman"/>
          <w:sz w:val="24"/>
          <w:szCs w:val="24"/>
        </w:rPr>
        <w:t>[Name of Plaintiff/Survivor]</w:t>
      </w:r>
      <w:r>
        <w:rPr>
          <w:rFonts w:cs="Times New Roman"/>
          <w:sz w:val="24"/>
          <w:szCs w:val="24"/>
        </w:rPr>
        <w:t xml:space="preserve"> </w:t>
      </w:r>
      <w:r w:rsidRPr="001838A1">
        <w:rPr>
          <w:rFonts w:cs="Times New Roman"/>
          <w:sz w:val="24"/>
          <w:szCs w:val="24"/>
        </w:rPr>
        <w:t>was severe, pervasive</w:t>
      </w:r>
      <w:r>
        <w:rPr>
          <w:rFonts w:cs="Times New Roman"/>
          <w:sz w:val="24"/>
          <w:szCs w:val="24"/>
        </w:rPr>
        <w:t>,</w:t>
      </w:r>
      <w:r w:rsidRPr="001838A1">
        <w:rPr>
          <w:rFonts w:cs="Times New Roman"/>
          <w:sz w:val="24"/>
          <w:szCs w:val="24"/>
        </w:rPr>
        <w:t xml:space="preserve"> and</w:t>
      </w:r>
      <w:r>
        <w:rPr>
          <w:rFonts w:cs="Times New Roman"/>
          <w:sz w:val="24"/>
          <w:szCs w:val="24"/>
        </w:rPr>
        <w:t xml:space="preserve"> </w:t>
      </w:r>
      <w:r w:rsidRPr="001838A1">
        <w:rPr>
          <w:rFonts w:cs="Times New Roman"/>
          <w:sz w:val="24"/>
          <w:szCs w:val="24"/>
        </w:rPr>
        <w:t>offensive</w:t>
      </w:r>
      <w:r>
        <w:rPr>
          <w:rFonts w:cs="Times New Roman"/>
          <w:color w:val="000000"/>
          <w:sz w:val="24"/>
          <w:szCs w:val="24"/>
        </w:rPr>
        <w:t xml:space="preserve">, </w:t>
      </w:r>
      <w:r w:rsidRPr="001838A1">
        <w:rPr>
          <w:rFonts w:cs="Times New Roman"/>
          <w:sz w:val="24"/>
          <w:szCs w:val="24"/>
        </w:rPr>
        <w:t xml:space="preserve">you must examine the totality of the circumstances, including the frequency, </w:t>
      </w:r>
      <w:r>
        <w:rPr>
          <w:rFonts w:cs="Times New Roman"/>
          <w:sz w:val="24"/>
          <w:szCs w:val="24"/>
        </w:rPr>
        <w:t xml:space="preserve">the </w:t>
      </w:r>
      <w:r w:rsidRPr="001838A1">
        <w:rPr>
          <w:rFonts w:cs="Times New Roman"/>
          <w:sz w:val="24"/>
          <w:szCs w:val="24"/>
        </w:rPr>
        <w:t xml:space="preserve">severity, </w:t>
      </w:r>
      <w:r>
        <w:rPr>
          <w:rFonts w:cs="Times New Roman"/>
          <w:sz w:val="24"/>
          <w:szCs w:val="24"/>
        </w:rPr>
        <w:t>the</w:t>
      </w:r>
      <w:r w:rsidRPr="001838A1">
        <w:rPr>
          <w:rFonts w:cs="Times New Roman"/>
          <w:sz w:val="24"/>
          <w:szCs w:val="24"/>
        </w:rPr>
        <w:t xml:space="preserve"> impact on </w:t>
      </w:r>
      <w:r w:rsidR="00E5128C">
        <w:rPr>
          <w:rFonts w:cs="Times New Roman"/>
          <w:sz w:val="24"/>
          <w:szCs w:val="24"/>
        </w:rPr>
        <w:t>[Name of Plaintiff/Survivor]</w:t>
      </w:r>
      <w:r w:rsidRPr="001838A1">
        <w:rPr>
          <w:rFonts w:cs="Times New Roman"/>
          <w:sz w:val="24"/>
          <w:szCs w:val="24"/>
        </w:rPr>
        <w:t xml:space="preserve">, and </w:t>
      </w:r>
      <w:r>
        <w:rPr>
          <w:rFonts w:cs="Times New Roman"/>
          <w:sz w:val="24"/>
          <w:szCs w:val="24"/>
        </w:rPr>
        <w:t xml:space="preserve">the </w:t>
      </w:r>
      <w:r w:rsidRPr="001838A1">
        <w:rPr>
          <w:rFonts w:cs="Times New Roman"/>
          <w:sz w:val="24"/>
          <w:szCs w:val="24"/>
        </w:rPr>
        <w:t xml:space="preserve">degree of interference with </w:t>
      </w:r>
      <w:r w:rsidR="00E5128C">
        <w:rPr>
          <w:rFonts w:cs="Times New Roman"/>
          <w:sz w:val="24"/>
          <w:szCs w:val="24"/>
        </w:rPr>
        <w:t>[Name of Plaintiff/Survivor]</w:t>
      </w:r>
      <w:r>
        <w:rPr>
          <w:rFonts w:cs="Times New Roman"/>
          <w:sz w:val="24"/>
          <w:szCs w:val="24"/>
        </w:rPr>
        <w:t xml:space="preserve">’s </w:t>
      </w:r>
      <w:r w:rsidRPr="001838A1">
        <w:rPr>
          <w:rFonts w:cs="Times New Roman"/>
          <w:sz w:val="24"/>
          <w:szCs w:val="24"/>
        </w:rPr>
        <w:t>educational pursuits.</w:t>
      </w:r>
      <w:r w:rsidRPr="001838A1">
        <w:rPr>
          <w:rStyle w:val="FootnoteReference"/>
          <w:rFonts w:cs="Times New Roman"/>
          <w:sz w:val="24"/>
          <w:szCs w:val="24"/>
        </w:rPr>
        <w:footnoteReference w:id="1"/>
      </w:r>
      <w:r>
        <w:rPr>
          <w:rFonts w:cs="Times New Roman"/>
          <w:sz w:val="24"/>
          <w:szCs w:val="24"/>
        </w:rPr>
        <w:t xml:space="preserve"> </w:t>
      </w:r>
    </w:p>
    <w:p w:rsidR="0062660E" w:rsidRDefault="0062660E" w:rsidP="0062660E">
      <w:pPr>
        <w:pStyle w:val="FootnoteText"/>
        <w:spacing w:line="480" w:lineRule="auto"/>
        <w:ind w:firstLine="720"/>
        <w:contextualSpacing/>
        <w:jc w:val="both"/>
        <w:rPr>
          <w:rFonts w:cs="Times New Roman"/>
          <w:sz w:val="24"/>
          <w:szCs w:val="24"/>
          <w:shd w:val="clear" w:color="auto" w:fill="FFFFFF"/>
        </w:rPr>
      </w:pPr>
      <w:r>
        <w:rPr>
          <w:rFonts w:cs="Times New Roman"/>
          <w:sz w:val="24"/>
          <w:szCs w:val="24"/>
        </w:rPr>
        <w:t xml:space="preserve">This requires you to consider the evidence from the perspective of a reasonable person of the same sex as </w:t>
      </w:r>
      <w:r w:rsidR="00E5128C">
        <w:rPr>
          <w:rFonts w:cs="Times New Roman"/>
          <w:sz w:val="24"/>
          <w:szCs w:val="24"/>
        </w:rPr>
        <w:t>[Name of Plaintiff/Survivor]</w:t>
      </w:r>
      <w:r>
        <w:rPr>
          <w:rFonts w:cs="Times New Roman"/>
          <w:sz w:val="24"/>
          <w:szCs w:val="24"/>
        </w:rPr>
        <w:t xml:space="preserve">. This is an objective standard and requires </w:t>
      </w:r>
      <w:r w:rsidRPr="001838A1">
        <w:rPr>
          <w:rFonts w:cs="Times New Roman"/>
          <w:sz w:val="24"/>
          <w:szCs w:val="24"/>
        </w:rPr>
        <w:t xml:space="preserve">you </w:t>
      </w:r>
      <w:r>
        <w:rPr>
          <w:rFonts w:cs="Times New Roman"/>
          <w:sz w:val="24"/>
          <w:szCs w:val="24"/>
        </w:rPr>
        <w:t xml:space="preserve">to </w:t>
      </w:r>
      <w:r w:rsidRPr="001838A1">
        <w:rPr>
          <w:rFonts w:cs="Times New Roman"/>
          <w:sz w:val="24"/>
          <w:szCs w:val="24"/>
        </w:rPr>
        <w:t xml:space="preserve">look at the evidence from the perspective of a reasonable </w:t>
      </w:r>
      <w:r>
        <w:rPr>
          <w:rFonts w:cs="Times New Roman"/>
          <w:sz w:val="24"/>
          <w:szCs w:val="24"/>
        </w:rPr>
        <w:t>woman</w:t>
      </w:r>
      <w:r w:rsidRPr="001838A1">
        <w:rPr>
          <w:rFonts w:cs="Times New Roman"/>
          <w:sz w:val="24"/>
          <w:szCs w:val="24"/>
        </w:rPr>
        <w:t xml:space="preserve">’s reaction to similar harassment under similar circumstances. </w:t>
      </w:r>
      <w:r w:rsidRPr="001838A1">
        <w:rPr>
          <w:rFonts w:cs="Times New Roman"/>
          <w:sz w:val="24"/>
          <w:szCs w:val="24"/>
          <w:shd w:val="clear" w:color="auto" w:fill="FFFFFF"/>
        </w:rPr>
        <w:t>You cannot view the evidence from the perspective of an overly sensitive person. Instead, you must consider the total circumstances and determine whether the alleged harassing behavior could be objectively classified as the kind of behavior that would seriously affect the psychological well-being of a reasonable person.</w:t>
      </w:r>
      <w:r w:rsidRPr="001838A1">
        <w:rPr>
          <w:rStyle w:val="FootnoteReference"/>
          <w:rFonts w:cs="Times New Roman"/>
          <w:sz w:val="24"/>
          <w:szCs w:val="24"/>
        </w:rPr>
        <w:footnoteReference w:id="2"/>
      </w:r>
    </w:p>
    <w:p w:rsidR="0062660E" w:rsidRDefault="0062660E" w:rsidP="0062660E">
      <w:pPr>
        <w:pStyle w:val="FootnoteText"/>
        <w:spacing w:line="480" w:lineRule="auto"/>
        <w:ind w:firstLine="720"/>
        <w:contextualSpacing/>
        <w:jc w:val="both"/>
        <w:rPr>
          <w:rFonts w:cs="Times New Roman"/>
          <w:sz w:val="24"/>
          <w:szCs w:val="24"/>
          <w:shd w:val="clear" w:color="auto" w:fill="FFFFFF"/>
        </w:rPr>
      </w:pPr>
      <w:r>
        <w:rPr>
          <w:rFonts w:cs="Times New Roman"/>
          <w:sz w:val="24"/>
          <w:szCs w:val="24"/>
          <w:shd w:val="clear" w:color="auto" w:fill="FFFFFF"/>
        </w:rPr>
        <w:t xml:space="preserve">The effect of the alleged harassment on </w:t>
      </w:r>
      <w:r w:rsidR="00E5128C">
        <w:rPr>
          <w:rFonts w:cs="Times New Roman"/>
          <w:sz w:val="24"/>
          <w:szCs w:val="24"/>
          <w:shd w:val="clear" w:color="auto" w:fill="FFFFFF"/>
        </w:rPr>
        <w:t>[Name of Plaintiff/Survivor]</w:t>
      </w:r>
      <w:r>
        <w:rPr>
          <w:rFonts w:cs="Times New Roman"/>
          <w:sz w:val="24"/>
          <w:szCs w:val="24"/>
          <w:shd w:val="clear" w:color="auto" w:fill="FFFFFF"/>
        </w:rPr>
        <w:t xml:space="preserve">’s mental and </w:t>
      </w:r>
      <w:r w:rsidRPr="0090477E">
        <w:rPr>
          <w:rFonts w:cs="Times New Roman"/>
          <w:sz w:val="24"/>
          <w:szCs w:val="24"/>
          <w:shd w:val="clear" w:color="auto" w:fill="FFFFFF"/>
        </w:rPr>
        <w:t xml:space="preserve">emotional </w:t>
      </w:r>
      <w:r>
        <w:rPr>
          <w:rFonts w:cs="Times New Roman"/>
          <w:sz w:val="24"/>
          <w:szCs w:val="24"/>
          <w:shd w:val="clear" w:color="auto" w:fill="FFFFFF"/>
        </w:rPr>
        <w:t xml:space="preserve">well-being is also relevant to determining whether </w:t>
      </w:r>
      <w:r w:rsidR="00E5128C">
        <w:rPr>
          <w:rFonts w:cs="Times New Roman"/>
          <w:sz w:val="24"/>
          <w:szCs w:val="24"/>
          <w:shd w:val="clear" w:color="auto" w:fill="FFFFFF"/>
        </w:rPr>
        <w:t>[Name of Plaintiff/Survivor]</w:t>
      </w:r>
      <w:r>
        <w:rPr>
          <w:rFonts w:cs="Times New Roman"/>
          <w:sz w:val="24"/>
          <w:szCs w:val="24"/>
          <w:shd w:val="clear" w:color="auto" w:fill="FFFFFF"/>
        </w:rPr>
        <w:t xml:space="preserve"> found the environment to be hostile or abusive; but while psychological harm, like any other relevant factor, may be taken into account, no single factor is required to show deprivation of access to educational opportunities or benefits</w:t>
      </w:r>
      <w:r w:rsidRPr="0090477E">
        <w:rPr>
          <w:rFonts w:cs="Times New Roman"/>
          <w:sz w:val="24"/>
          <w:szCs w:val="24"/>
          <w:shd w:val="clear" w:color="auto" w:fill="FFFFFF"/>
        </w:rPr>
        <w:t>.</w:t>
      </w:r>
      <w:r w:rsidRPr="0090477E">
        <w:rPr>
          <w:rFonts w:cs="Times New Roman"/>
          <w:sz w:val="24"/>
          <w:szCs w:val="24"/>
          <w:shd w:val="clear" w:color="auto" w:fill="FFFFFF"/>
          <w:vertAlign w:val="superscript"/>
        </w:rPr>
        <w:footnoteReference w:id="3"/>
      </w:r>
    </w:p>
    <w:p w:rsidR="00B57181" w:rsidRDefault="0062660E" w:rsidP="0062660E">
      <w:pPr>
        <w:spacing w:line="480" w:lineRule="auto"/>
        <w:ind w:firstLine="720"/>
      </w:pPr>
      <w:r w:rsidRPr="0090477E">
        <w:rPr>
          <w:rFonts w:cs="Times New Roman"/>
          <w:szCs w:val="24"/>
          <w:shd w:val="clear" w:color="auto" w:fill="FFFFFF"/>
        </w:rPr>
        <w:t>Sex</w:t>
      </w:r>
      <w:r>
        <w:rPr>
          <w:rFonts w:cs="Times New Roman"/>
          <w:szCs w:val="24"/>
          <w:shd w:val="clear" w:color="auto" w:fill="FFFFFF"/>
        </w:rPr>
        <w:t xml:space="preserve">-based </w:t>
      </w:r>
      <w:r w:rsidRPr="0090477E">
        <w:rPr>
          <w:rFonts w:cs="Times New Roman"/>
          <w:szCs w:val="24"/>
          <w:shd w:val="clear" w:color="auto" w:fill="FFFFFF"/>
        </w:rPr>
        <w:t xml:space="preserve">harassment </w:t>
      </w:r>
      <w:r>
        <w:rPr>
          <w:rFonts w:cs="Times New Roman"/>
          <w:szCs w:val="24"/>
          <w:shd w:val="clear" w:color="auto" w:fill="FFFFFF"/>
        </w:rPr>
        <w:t xml:space="preserve">can </w:t>
      </w:r>
      <w:r w:rsidRPr="0090477E">
        <w:rPr>
          <w:rFonts w:cs="Times New Roman"/>
          <w:szCs w:val="24"/>
          <w:shd w:val="clear" w:color="auto" w:fill="FFFFFF"/>
        </w:rPr>
        <w:t xml:space="preserve">deprive a </w:t>
      </w:r>
      <w:r>
        <w:rPr>
          <w:rFonts w:cs="Times New Roman"/>
          <w:szCs w:val="24"/>
          <w:shd w:val="clear" w:color="auto" w:fill="FFFFFF"/>
        </w:rPr>
        <w:t>student</w:t>
      </w:r>
      <w:r w:rsidRPr="0090477E">
        <w:rPr>
          <w:rFonts w:cs="Times New Roman"/>
          <w:szCs w:val="24"/>
          <w:shd w:val="clear" w:color="auto" w:fill="FFFFFF"/>
        </w:rPr>
        <w:t xml:space="preserve"> of access to educational opportunities</w:t>
      </w:r>
      <w:r>
        <w:rPr>
          <w:rFonts w:cs="Times New Roman"/>
          <w:szCs w:val="24"/>
          <w:shd w:val="clear" w:color="auto" w:fill="FFFFFF"/>
        </w:rPr>
        <w:t xml:space="preserve"> or benefits in several circumstances, including </w:t>
      </w:r>
      <w:r w:rsidRPr="0090477E">
        <w:rPr>
          <w:rFonts w:cs="Times New Roman"/>
          <w:szCs w:val="24"/>
          <w:shd w:val="clear" w:color="auto" w:fill="FFFFFF"/>
        </w:rPr>
        <w:t xml:space="preserve">when </w:t>
      </w:r>
      <w:r>
        <w:rPr>
          <w:rFonts w:cs="Times New Roman"/>
          <w:szCs w:val="24"/>
          <w:shd w:val="clear" w:color="auto" w:fill="FFFFFF"/>
        </w:rPr>
        <w:t xml:space="preserve">the harassment so undermines and detracts from the student’s educational experience as to effectively deny her equal access to a school’s </w:t>
      </w:r>
      <w:r>
        <w:rPr>
          <w:rFonts w:cs="Times New Roman"/>
          <w:szCs w:val="24"/>
          <w:shd w:val="clear" w:color="auto" w:fill="FFFFFF"/>
        </w:rPr>
        <w:lastRenderedPageBreak/>
        <w:t>resources and opportunities, or</w:t>
      </w:r>
      <w:r w:rsidRPr="0090477E">
        <w:rPr>
          <w:rFonts w:cs="Times New Roman"/>
          <w:szCs w:val="24"/>
          <w:shd w:val="clear" w:color="auto" w:fill="FFFFFF"/>
        </w:rPr>
        <w:t xml:space="preserve"> has a concrete, negative effect on the </w:t>
      </w:r>
      <w:r>
        <w:rPr>
          <w:rFonts w:cs="Times New Roman"/>
          <w:szCs w:val="24"/>
          <w:shd w:val="clear" w:color="auto" w:fill="FFFFFF"/>
        </w:rPr>
        <w:t>student’s education or access to school-related resources</w:t>
      </w:r>
      <w:r w:rsidRPr="0090477E">
        <w:rPr>
          <w:rFonts w:cs="Times New Roman"/>
          <w:szCs w:val="24"/>
          <w:shd w:val="clear" w:color="auto" w:fill="FFFFFF"/>
        </w:rPr>
        <w:t>.</w:t>
      </w:r>
      <w:r w:rsidRPr="0090477E">
        <w:rPr>
          <w:rFonts w:cs="Times New Roman"/>
          <w:szCs w:val="24"/>
          <w:shd w:val="clear" w:color="auto" w:fill="FFFFFF"/>
          <w:vertAlign w:val="superscript"/>
        </w:rPr>
        <w:footnoteReference w:id="4"/>
      </w:r>
    </w:p>
    <w:sectPr w:rsidR="00B57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B4" w:rsidRDefault="00FB79B4" w:rsidP="0062660E">
      <w:r>
        <w:separator/>
      </w:r>
    </w:p>
  </w:endnote>
  <w:endnote w:type="continuationSeparator" w:id="0">
    <w:p w:rsidR="00FB79B4" w:rsidRDefault="00FB79B4" w:rsidP="0062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B4" w:rsidRDefault="00FB79B4" w:rsidP="0062660E">
      <w:r>
        <w:separator/>
      </w:r>
    </w:p>
  </w:footnote>
  <w:footnote w:type="continuationSeparator" w:id="0">
    <w:p w:rsidR="00FB79B4" w:rsidRDefault="00FB79B4" w:rsidP="0062660E">
      <w:r>
        <w:continuationSeparator/>
      </w:r>
    </w:p>
  </w:footnote>
  <w:footnote w:id="1">
    <w:p w:rsidR="0062660E" w:rsidRPr="007B2BA3" w:rsidRDefault="0062660E" w:rsidP="0062660E">
      <w:pPr>
        <w:pStyle w:val="FootnoteText"/>
        <w:rPr>
          <w:rFonts w:eastAsia="Times New Roman" w:cs="Times New Roman"/>
          <w:i/>
        </w:rPr>
      </w:pPr>
      <w:r w:rsidRPr="00F94B69">
        <w:rPr>
          <w:rStyle w:val="FootnoteReference"/>
          <w:rFonts w:cs="Times New Roman"/>
        </w:rPr>
        <w:footnoteRef/>
      </w:r>
      <w:r w:rsidRPr="00F94B69">
        <w:rPr>
          <w:rFonts w:cs="Times New Roman"/>
        </w:rPr>
        <w:t xml:space="preserve"> </w:t>
      </w:r>
      <w:r w:rsidRPr="007B2BA3">
        <w:rPr>
          <w:rFonts w:cs="Times New Roman"/>
          <w:i/>
          <w:szCs w:val="22"/>
        </w:rPr>
        <w:t>See</w:t>
      </w:r>
      <w:r>
        <w:rPr>
          <w:rFonts w:cs="Times New Roman"/>
          <w:i/>
          <w:szCs w:val="22"/>
        </w:rPr>
        <w:t xml:space="preserve"> </w:t>
      </w:r>
      <w:r w:rsidR="00F73AA9" w:rsidRPr="007B2BA3">
        <w:rPr>
          <w:rFonts w:cs="Times New Roman"/>
        </w:rPr>
        <w:t xml:space="preserve">3C O’Malley, </w:t>
      </w:r>
      <w:proofErr w:type="spellStart"/>
      <w:r w:rsidR="00F73AA9" w:rsidRPr="007B2BA3">
        <w:rPr>
          <w:rFonts w:cs="Times New Roman"/>
        </w:rPr>
        <w:t>Grenig</w:t>
      </w:r>
      <w:proofErr w:type="spellEnd"/>
      <w:r w:rsidR="00F73AA9" w:rsidRPr="007B2BA3">
        <w:rPr>
          <w:rFonts w:cs="Times New Roman"/>
        </w:rPr>
        <w:t xml:space="preserve"> &amp; Lee, </w:t>
      </w:r>
      <w:r w:rsidR="00F73AA9" w:rsidRPr="007B2BA3">
        <w:rPr>
          <w:rFonts w:cs="Times New Roman"/>
          <w:i/>
        </w:rPr>
        <w:t>Federal Jury Practice and Instructions</w:t>
      </w:r>
      <w:r w:rsidR="00F73AA9" w:rsidRPr="007B2BA3">
        <w:rPr>
          <w:rFonts w:cs="Times New Roman"/>
        </w:rPr>
        <w:t xml:space="preserve">, </w:t>
      </w:r>
      <w:r w:rsidR="00F73AA9" w:rsidRPr="007B2BA3">
        <w:t>§ 177.33</w:t>
      </w:r>
      <w:r w:rsidR="00F73AA9">
        <w:t xml:space="preserve"> </w:t>
      </w:r>
      <w:r w:rsidR="00F73AA9" w:rsidRPr="007B2BA3">
        <w:rPr>
          <w:rFonts w:cs="Times New Roman"/>
        </w:rPr>
        <w:t>(6th ed. 2006) [hereinafter “O’Malley”]</w:t>
      </w:r>
      <w:r w:rsidRPr="007B2BA3">
        <w:t>;</w:t>
      </w:r>
      <w:r>
        <w:t xml:space="preserve"> </w:t>
      </w:r>
      <w:r w:rsidRPr="007B2BA3">
        <w:rPr>
          <w:i/>
        </w:rPr>
        <w:t>Davis</w:t>
      </w:r>
      <w:r w:rsidRPr="007B2BA3">
        <w:t xml:space="preserve">, 526 U.S. at 651; </w:t>
      </w:r>
      <w:proofErr w:type="spellStart"/>
      <w:r w:rsidRPr="007B2BA3">
        <w:rPr>
          <w:i/>
        </w:rPr>
        <w:t>Faragher</w:t>
      </w:r>
      <w:proofErr w:type="spellEnd"/>
      <w:r w:rsidRPr="007B2BA3">
        <w:rPr>
          <w:i/>
        </w:rPr>
        <w:t xml:space="preserve"> v. City of Boca Raton,</w:t>
      </w:r>
      <w:r w:rsidRPr="007B2BA3">
        <w:t xml:space="preserve"> 524 U.S. 775, 787 (1998).</w:t>
      </w:r>
    </w:p>
  </w:footnote>
  <w:footnote w:id="2">
    <w:p w:rsidR="0062660E" w:rsidRPr="00F94B69" w:rsidRDefault="0062660E" w:rsidP="0062660E">
      <w:pPr>
        <w:pStyle w:val="FootnoteText"/>
        <w:rPr>
          <w:rFonts w:eastAsia="Times New Roman" w:cs="Times New Roman"/>
        </w:rPr>
      </w:pPr>
      <w:r w:rsidRPr="00F94B69">
        <w:rPr>
          <w:rStyle w:val="FootnoteReference"/>
          <w:rFonts w:cs="Times New Roman"/>
        </w:rPr>
        <w:footnoteRef/>
      </w:r>
      <w:r w:rsidRPr="00F94B69">
        <w:rPr>
          <w:rFonts w:cs="Times New Roman"/>
        </w:rPr>
        <w:t xml:space="preserve"> </w:t>
      </w:r>
      <w:r w:rsidRPr="007B2BA3">
        <w:t>O’Malley, supra note</w:t>
      </w:r>
      <w:r w:rsidR="00F73AA9">
        <w:t xml:space="preserve"> 1</w:t>
      </w:r>
      <w:r w:rsidRPr="007B2BA3">
        <w:t>, at §§ 177.</w:t>
      </w:r>
      <w:r>
        <w:t>21</w:t>
      </w:r>
      <w:r w:rsidRPr="007B2BA3">
        <w:t xml:space="preserve">, 177.34; see also </w:t>
      </w:r>
      <w:r w:rsidRPr="007B2BA3">
        <w:rPr>
          <w:i/>
        </w:rPr>
        <w:t>Harris v. Forklift Sys., Inc.</w:t>
      </w:r>
      <w:r w:rsidRPr="007B2BA3">
        <w:t>, 510 U.S. 17, 21 (1993)</w:t>
      </w:r>
      <w:r>
        <w:t>.</w:t>
      </w:r>
    </w:p>
  </w:footnote>
  <w:footnote w:id="3">
    <w:p w:rsidR="0062660E" w:rsidRPr="001E75BB" w:rsidRDefault="0062660E" w:rsidP="0062660E">
      <w:pPr>
        <w:pStyle w:val="FootnoteText"/>
        <w:rPr>
          <w:rFonts w:cs="Times New Roman"/>
          <w:i/>
          <w:iCs/>
        </w:rPr>
      </w:pPr>
      <w:r w:rsidRPr="00F94B69">
        <w:rPr>
          <w:rStyle w:val="FootnoteReference"/>
          <w:rFonts w:cs="Times New Roman"/>
        </w:rPr>
        <w:footnoteRef/>
      </w:r>
      <w:r w:rsidRPr="00F94B69">
        <w:rPr>
          <w:rFonts w:cs="Times New Roman"/>
        </w:rPr>
        <w:t xml:space="preserve"> </w:t>
      </w:r>
      <w:r w:rsidRPr="00A943CC">
        <w:t>O’Malley, supra note</w:t>
      </w:r>
      <w:r w:rsidR="00F73AA9">
        <w:t xml:space="preserve"> 1</w:t>
      </w:r>
      <w:r w:rsidRPr="00A943CC">
        <w:t>, at §</w:t>
      </w:r>
      <w:r>
        <w:t xml:space="preserve">177.33; </w:t>
      </w:r>
      <w:r w:rsidRPr="00A943CC">
        <w:rPr>
          <w:rFonts w:cs="Times New Roman"/>
          <w:i/>
          <w:szCs w:val="22"/>
        </w:rPr>
        <w:t>see also</w:t>
      </w:r>
      <w:r w:rsidRPr="00A943CC">
        <w:rPr>
          <w:rFonts w:cs="Times New Roman"/>
          <w:szCs w:val="22"/>
        </w:rPr>
        <w:t xml:space="preserve"> </w:t>
      </w:r>
      <w:r w:rsidRPr="00A943CC">
        <w:rPr>
          <w:i/>
          <w:szCs w:val="22"/>
        </w:rPr>
        <w:t>D</w:t>
      </w:r>
      <w:r w:rsidRPr="00A943CC">
        <w:rPr>
          <w:i/>
        </w:rPr>
        <w:t xml:space="preserve">oe ex </w:t>
      </w:r>
      <w:proofErr w:type="spellStart"/>
      <w:r w:rsidRPr="00A943CC">
        <w:rPr>
          <w:i/>
        </w:rPr>
        <w:t>rel</w:t>
      </w:r>
      <w:proofErr w:type="spellEnd"/>
      <w:r w:rsidRPr="00A943CC">
        <w:rPr>
          <w:i/>
        </w:rPr>
        <w:t xml:space="preserve"> Doe v. Coventry Bd. of Educ.</w:t>
      </w:r>
      <w:r w:rsidRPr="00A943CC">
        <w:t xml:space="preserve">, 630 F. Supp. 2d 226, 233 (D. Conn. 2009); </w:t>
      </w:r>
      <w:proofErr w:type="spellStart"/>
      <w:r w:rsidRPr="00A943CC">
        <w:rPr>
          <w:i/>
        </w:rPr>
        <w:t>Bruning</w:t>
      </w:r>
      <w:proofErr w:type="spellEnd"/>
      <w:r w:rsidRPr="00A943CC">
        <w:rPr>
          <w:i/>
        </w:rPr>
        <w:t xml:space="preserve"> v. Carroll </w:t>
      </w:r>
      <w:proofErr w:type="spellStart"/>
      <w:r w:rsidRPr="00A943CC">
        <w:rPr>
          <w:i/>
        </w:rPr>
        <w:t>Cmty</w:t>
      </w:r>
      <w:proofErr w:type="spellEnd"/>
      <w:r w:rsidRPr="00A943CC">
        <w:rPr>
          <w:i/>
        </w:rPr>
        <w:t>. Sch. Dist.</w:t>
      </w:r>
      <w:r w:rsidRPr="00A943CC">
        <w:t>, 486 F. Supp. 2d 892, 917-18 (N.D. Iowa 2007).</w:t>
      </w:r>
    </w:p>
  </w:footnote>
  <w:footnote w:id="4">
    <w:p w:rsidR="0062660E" w:rsidRDefault="0062660E" w:rsidP="0062660E">
      <w:pPr>
        <w:pStyle w:val="FootnoteText"/>
      </w:pPr>
      <w:r>
        <w:rPr>
          <w:rStyle w:val="FootnoteReference"/>
        </w:rPr>
        <w:footnoteRef/>
      </w:r>
      <w:r>
        <w:t xml:space="preserve"> Adapted from jury charge in </w:t>
      </w:r>
      <w:r>
        <w:rPr>
          <w:i/>
        </w:rPr>
        <w:t xml:space="preserve">Doe v. Fairfax </w:t>
      </w:r>
      <w:proofErr w:type="spellStart"/>
      <w:r>
        <w:rPr>
          <w:i/>
        </w:rPr>
        <w:t>Cnty</w:t>
      </w:r>
      <w:proofErr w:type="spellEnd"/>
      <w:r>
        <w:rPr>
          <w:i/>
        </w:rPr>
        <w:t>. Sch. Bd.</w:t>
      </w:r>
      <w:r>
        <w:t xml:space="preserve">, </w:t>
      </w:r>
      <w:r w:rsidRPr="00E74FB5">
        <w:t>1:18-cv-00614-LO-MSN</w:t>
      </w:r>
      <w:r>
        <w:t xml:space="preserve"> (</w:t>
      </w:r>
      <w:proofErr w:type="spellStart"/>
      <w:r>
        <w:t>E.D.Va</w:t>
      </w:r>
      <w:proofErr w:type="spellEnd"/>
      <w:r>
        <w:t>. Aug. 8, 2019), ECF</w:t>
      </w:r>
      <w:r w:rsidRPr="00216319">
        <w:t xml:space="preserve"> No. </w:t>
      </w:r>
      <w:r>
        <w:t xml:space="preserve">315-14 at 14. </w:t>
      </w:r>
      <w:r>
        <w:rPr>
          <w:i/>
        </w:rPr>
        <w:t>See also</w:t>
      </w:r>
      <w:r>
        <w:t xml:space="preserve"> </w:t>
      </w:r>
      <w:proofErr w:type="spellStart"/>
      <w:r w:rsidRPr="00DD40DB">
        <w:t>Roohbakhsh</w:t>
      </w:r>
      <w:proofErr w:type="spellEnd"/>
      <w:r w:rsidRPr="00F0064E">
        <w:t>, No. 8:17CV31, 2019 WL 3975377, at *</w:t>
      </w:r>
      <w:r>
        <w:t xml:space="preserve">10 (citing </w:t>
      </w:r>
      <w:r w:rsidRPr="0090477E">
        <w:rPr>
          <w:i/>
        </w:rPr>
        <w:t>Davis</w:t>
      </w:r>
      <w:r w:rsidRPr="00D50CA4">
        <w:t>, 526 U.S. at 650-51</w:t>
      </w:r>
      <w:r>
        <w:t>)</w:t>
      </w:r>
      <w:r w:rsidRPr="00D50CA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4150"/>
    <w:multiLevelType w:val="multilevel"/>
    <w:tmpl w:val="D19CF538"/>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0E"/>
    <w:rsid w:val="005D11F2"/>
    <w:rsid w:val="0062660E"/>
    <w:rsid w:val="00B57181"/>
    <w:rsid w:val="00E5128C"/>
    <w:rsid w:val="00E8638A"/>
    <w:rsid w:val="00F73AA9"/>
    <w:rsid w:val="00FB79B4"/>
    <w:rsid w:val="00FC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1DE5F-C9D4-4269-9795-CEDA6FBE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F2"/>
    <w:rPr>
      <w:rFonts w:ascii="Times New Roman" w:hAnsi="Times New Roman"/>
      <w:sz w:val="24"/>
    </w:rPr>
  </w:style>
  <w:style w:type="paragraph" w:styleId="Heading1">
    <w:name w:val="heading 1"/>
    <w:basedOn w:val="Normal"/>
    <w:next w:val="Normal"/>
    <w:link w:val="Heading1Char"/>
    <w:uiPriority w:val="9"/>
    <w:qFormat/>
    <w:rsid w:val="005D11F2"/>
    <w:pPr>
      <w:keepNext/>
      <w:keepLines/>
      <w:numPr>
        <w:numId w:val="1"/>
      </w:numPr>
      <w:spacing w:after="240"/>
      <w:ind w:left="720" w:hanging="7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F2"/>
    <w:rPr>
      <w:rFonts w:ascii="Times New Roman" w:eastAsiaTheme="majorEastAsia" w:hAnsi="Times New Roman" w:cstheme="majorBidi"/>
      <w:b/>
      <w:sz w:val="24"/>
      <w:szCs w:val="32"/>
    </w:rPr>
  </w:style>
  <w:style w:type="paragraph" w:styleId="BodyText">
    <w:name w:val="Body Text"/>
    <w:basedOn w:val="Normal"/>
    <w:link w:val="BodyTextChar"/>
    <w:uiPriority w:val="99"/>
    <w:semiHidden/>
    <w:unhideWhenUsed/>
    <w:rsid w:val="005D11F2"/>
    <w:pPr>
      <w:spacing w:after="240"/>
      <w:ind w:left="720"/>
      <w:contextualSpacing/>
    </w:pPr>
  </w:style>
  <w:style w:type="character" w:customStyle="1" w:styleId="BodyTextChar">
    <w:name w:val="Body Text Char"/>
    <w:basedOn w:val="DefaultParagraphFont"/>
    <w:link w:val="BodyText"/>
    <w:uiPriority w:val="99"/>
    <w:semiHidden/>
    <w:rsid w:val="005D11F2"/>
    <w:rPr>
      <w:rFonts w:ascii="Times New Roman" w:hAnsi="Times New Roman"/>
      <w:sz w:val="24"/>
    </w:rPr>
  </w:style>
  <w:style w:type="paragraph" w:styleId="FootnoteText">
    <w:name w:val="footnote text"/>
    <w:basedOn w:val="Normal"/>
    <w:link w:val="FootnoteTextChar"/>
    <w:uiPriority w:val="99"/>
    <w:semiHidden/>
    <w:unhideWhenUsed/>
    <w:rsid w:val="0062660E"/>
    <w:rPr>
      <w:sz w:val="20"/>
      <w:szCs w:val="20"/>
    </w:rPr>
  </w:style>
  <w:style w:type="character" w:customStyle="1" w:styleId="FootnoteTextChar">
    <w:name w:val="Footnote Text Char"/>
    <w:basedOn w:val="DefaultParagraphFont"/>
    <w:link w:val="FootnoteText"/>
    <w:uiPriority w:val="99"/>
    <w:semiHidden/>
    <w:rsid w:val="0062660E"/>
    <w:rPr>
      <w:rFonts w:ascii="Times New Roman" w:hAnsi="Times New Roman"/>
      <w:sz w:val="20"/>
      <w:szCs w:val="20"/>
    </w:rPr>
  </w:style>
  <w:style w:type="character" w:styleId="FootnoteReference">
    <w:name w:val="footnote reference"/>
    <w:basedOn w:val="DefaultParagraphFont"/>
    <w:uiPriority w:val="99"/>
    <w:semiHidden/>
    <w:unhideWhenUsed/>
    <w:rsid w:val="00626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Kimmel</dc:creator>
  <cp:keywords/>
  <dc:description/>
  <cp:lastModifiedBy>RWilliams</cp:lastModifiedBy>
  <cp:revision>2</cp:revision>
  <dcterms:created xsi:type="dcterms:W3CDTF">2020-02-25T21:10:00Z</dcterms:created>
  <dcterms:modified xsi:type="dcterms:W3CDTF">2020-02-25T21:10:00Z</dcterms:modified>
</cp:coreProperties>
</file>