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24" w:rsidRPr="008C5B24" w:rsidRDefault="00CD08F4">
      <w:pPr>
        <w:tabs>
          <w:tab w:val="center" w:pos="5400"/>
        </w:tabs>
        <w:jc w:val="both"/>
        <w:rPr>
          <w:rFonts w:ascii="Times New Roman" w:hAnsi="Times New Roman"/>
          <w:sz w:val="36"/>
          <w:szCs w:val="36"/>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margin">
                  <wp:posOffset>-62865</wp:posOffset>
                </wp:positionH>
                <wp:positionV relativeFrom="margin">
                  <wp:posOffset>-775970</wp:posOffset>
                </wp:positionV>
                <wp:extent cx="6863715" cy="96913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969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4D0" w:rsidRPr="00BF3573" w:rsidRDefault="000664D0" w:rsidP="00BF35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61.1pt;width:540.45pt;height:763.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" o:allowincell="f" filled="f" stroked="f" strokeweight="0">
                <v:textbox inset="0,0,0,0">
                  <w:txbxContent>
                    <w:p w:rsidR="000664D0" w:rsidRPr="00BF3573" w:rsidRDefault="000664D0" w:rsidP="00BF3573"/>
                  </w:txbxContent>
                </v:textbox>
                <w10:wrap anchorx="margin" anchory="margin"/>
                <w10:anchorlock/>
              </v:rect>
            </w:pict>
          </mc:Fallback>
        </mc:AlternateContent>
      </w:r>
      <w:r w:rsidR="009A28FB">
        <w:rPr>
          <w:rFonts w:ascii="Times New Roman" w:hAnsi="Times New Roman"/>
          <w:sz w:val="36"/>
          <w:szCs w:val="36"/>
        </w:rPr>
        <w:t xml:space="preserve"> </w:t>
      </w:r>
      <w:r w:rsidR="00181AC1" w:rsidRPr="008C5B24">
        <w:rPr>
          <w:rFonts w:ascii="Times New Roman" w:hAnsi="Times New Roman"/>
          <w:sz w:val="36"/>
          <w:szCs w:val="36"/>
        </w:rPr>
        <w:tab/>
      </w:r>
    </w:p>
    <w:p w:rsidR="008C5B24" w:rsidRPr="008C5B24" w:rsidRDefault="008C5B24">
      <w:pPr>
        <w:tabs>
          <w:tab w:val="center" w:pos="5400"/>
        </w:tabs>
        <w:jc w:val="both"/>
        <w:rPr>
          <w:rFonts w:ascii="Times New Roman" w:hAnsi="Times New Roman"/>
          <w:sz w:val="36"/>
          <w:szCs w:val="36"/>
        </w:rPr>
      </w:pPr>
    </w:p>
    <w:p w:rsidR="008C5B24" w:rsidRPr="008C5B24" w:rsidRDefault="008C5B24">
      <w:pPr>
        <w:tabs>
          <w:tab w:val="center" w:pos="5400"/>
        </w:tabs>
        <w:jc w:val="both"/>
        <w:rPr>
          <w:rFonts w:ascii="Times New Roman" w:hAnsi="Times New Roman"/>
          <w:sz w:val="36"/>
          <w:szCs w:val="36"/>
        </w:rPr>
      </w:pPr>
    </w:p>
    <w:p w:rsidR="00181AC1" w:rsidRPr="008C5B24" w:rsidRDefault="00181AC1" w:rsidP="003257C5">
      <w:pPr>
        <w:tabs>
          <w:tab w:val="center" w:pos="5400"/>
        </w:tabs>
        <w:jc w:val="center"/>
        <w:rPr>
          <w:rFonts w:ascii="Times New Roman" w:hAnsi="Times New Roman"/>
          <w:b/>
          <w:bCs/>
          <w:sz w:val="36"/>
          <w:szCs w:val="36"/>
        </w:rPr>
      </w:pPr>
      <w:r w:rsidRPr="008C5B24">
        <w:rPr>
          <w:rFonts w:ascii="Times New Roman" w:hAnsi="Times New Roman"/>
          <w:b/>
          <w:bCs/>
          <w:sz w:val="36"/>
          <w:szCs w:val="36"/>
        </w:rPr>
        <w:t>EVALUATION OF</w:t>
      </w:r>
      <w:r w:rsidR="00FF46BE">
        <w:rPr>
          <w:rFonts w:ascii="Times New Roman" w:hAnsi="Times New Roman"/>
          <w:b/>
          <w:bCs/>
          <w:sz w:val="36"/>
          <w:szCs w:val="36"/>
        </w:rPr>
        <w:t xml:space="preserve"> </w:t>
      </w:r>
      <w:r w:rsidRPr="008C5B24">
        <w:rPr>
          <w:rFonts w:ascii="Times New Roman" w:hAnsi="Times New Roman"/>
          <w:b/>
          <w:bCs/>
          <w:sz w:val="36"/>
          <w:szCs w:val="36"/>
        </w:rPr>
        <w:t>ECONOMIC LOSS</w:t>
      </w:r>
      <w:r w:rsidR="003D025A">
        <w:rPr>
          <w:rFonts w:ascii="Times New Roman" w:hAnsi="Times New Roman"/>
          <w:b/>
          <w:bCs/>
          <w:sz w:val="36"/>
          <w:szCs w:val="36"/>
        </w:rPr>
        <w:t xml:space="preserve"> </w:t>
      </w:r>
      <w:r w:rsidR="0008123A">
        <w:rPr>
          <w:rFonts w:ascii="Times New Roman" w:hAnsi="Times New Roman"/>
          <w:b/>
          <w:bCs/>
          <w:sz w:val="36"/>
          <w:szCs w:val="36"/>
        </w:rPr>
        <w:t>DUE TO</w:t>
      </w:r>
    </w:p>
    <w:p w:rsidR="00181AC1" w:rsidRPr="008C5B24" w:rsidRDefault="00E87AE3" w:rsidP="003257C5">
      <w:pPr>
        <w:jc w:val="center"/>
        <w:rPr>
          <w:rFonts w:ascii="Times New Roman" w:hAnsi="Times New Roman"/>
          <w:b/>
          <w:bCs/>
          <w:sz w:val="36"/>
          <w:szCs w:val="36"/>
        </w:rPr>
      </w:pPr>
      <w:r>
        <w:rPr>
          <w:rFonts w:ascii="Times New Roman" w:hAnsi="Times New Roman"/>
          <w:b/>
          <w:bCs/>
          <w:sz w:val="36"/>
          <w:szCs w:val="36"/>
        </w:rPr>
        <w:t>PERSONAL INJURY TO</w:t>
      </w:r>
    </w:p>
    <w:p w:rsidR="00181AC1" w:rsidRPr="008C5B24" w:rsidRDefault="00181AC1" w:rsidP="003257C5">
      <w:pPr>
        <w:jc w:val="center"/>
        <w:rPr>
          <w:rFonts w:ascii="Times New Roman" w:hAnsi="Times New Roman"/>
          <w:b/>
          <w:bCs/>
          <w:sz w:val="36"/>
          <w:szCs w:val="36"/>
        </w:rPr>
      </w:pPr>
    </w:p>
    <w:p w:rsidR="00181AC1" w:rsidRPr="008C5B24" w:rsidRDefault="008D51CF" w:rsidP="00C5728D">
      <w:pPr>
        <w:tabs>
          <w:tab w:val="center" w:pos="5400"/>
        </w:tabs>
        <w:jc w:val="center"/>
        <w:rPr>
          <w:rFonts w:ascii="Times New Roman" w:hAnsi="Times New Roman"/>
          <w:sz w:val="36"/>
          <w:szCs w:val="36"/>
        </w:rPr>
      </w:pPr>
      <w:r>
        <w:rPr>
          <w:rFonts w:ascii="Times New Roman" w:hAnsi="Times New Roman"/>
          <w:b/>
          <w:bCs/>
          <w:i/>
          <w:iCs/>
          <w:sz w:val="48"/>
          <w:szCs w:val="48"/>
        </w:rPr>
        <w:t>M. ----</w:t>
      </w:r>
    </w:p>
    <w:p w:rsidR="00181AC1" w:rsidRPr="008C5B24" w:rsidRDefault="00181AC1" w:rsidP="003257C5">
      <w:pPr>
        <w:jc w:val="center"/>
        <w:rPr>
          <w:rFonts w:ascii="Times New Roman" w:hAnsi="Times New Roman"/>
          <w:sz w:val="36"/>
          <w:szCs w:val="36"/>
        </w:rPr>
      </w:pPr>
    </w:p>
    <w:p w:rsidR="00181AC1" w:rsidRPr="008C5B24" w:rsidRDefault="00181AC1" w:rsidP="003257C5">
      <w:pPr>
        <w:jc w:val="center"/>
        <w:rPr>
          <w:rFonts w:ascii="Times New Roman" w:hAnsi="Times New Roman"/>
          <w:sz w:val="36"/>
          <w:szCs w:val="36"/>
        </w:rPr>
      </w:pPr>
    </w:p>
    <w:p w:rsidR="00181AC1" w:rsidRPr="008C5B24" w:rsidRDefault="00181AC1" w:rsidP="003257C5">
      <w:pPr>
        <w:jc w:val="center"/>
        <w:rPr>
          <w:rFonts w:ascii="Times New Roman" w:hAnsi="Times New Roman"/>
          <w:sz w:val="36"/>
          <w:szCs w:val="36"/>
        </w:rPr>
      </w:pPr>
    </w:p>
    <w:p w:rsidR="00181AC1" w:rsidRPr="00944E0A" w:rsidRDefault="00571968" w:rsidP="003257C5">
      <w:pPr>
        <w:tabs>
          <w:tab w:val="center" w:pos="5400"/>
        </w:tabs>
        <w:spacing w:line="360" w:lineRule="auto"/>
        <w:jc w:val="center"/>
        <w:rPr>
          <w:rFonts w:ascii="Times New Roman" w:hAnsi="Times New Roman"/>
        </w:rPr>
      </w:pPr>
      <w:r w:rsidRPr="00944E0A">
        <w:rPr>
          <w:rFonts w:ascii="Times New Roman" w:hAnsi="Times New Roman"/>
        </w:rPr>
        <w:t>P</w:t>
      </w:r>
      <w:r w:rsidR="00181AC1" w:rsidRPr="00944E0A">
        <w:rPr>
          <w:rFonts w:ascii="Times New Roman" w:hAnsi="Times New Roman"/>
        </w:rPr>
        <w:t>repared for:</w:t>
      </w:r>
    </w:p>
    <w:p w:rsidR="00BF3573" w:rsidRDefault="00BF3573" w:rsidP="00BF3573">
      <w:pPr>
        <w:jc w:val="both"/>
        <w:rPr>
          <w:rFonts w:ascii="Times New Roman" w:hAnsi="Times New Roman"/>
        </w:rPr>
      </w:pPr>
    </w:p>
    <w:p w:rsidR="00BD7844" w:rsidRDefault="008D51CF" w:rsidP="00BF3573">
      <w:pPr>
        <w:jc w:val="center"/>
        <w:rPr>
          <w:rFonts w:cs="Times New Roman TUR"/>
          <w:bCs/>
        </w:rPr>
      </w:pPr>
      <w:r>
        <w:rPr>
          <w:rFonts w:cs="Times New Roman TUR"/>
          <w:bCs/>
        </w:rPr>
        <w:t>National Crime Victims Bar Association</w:t>
      </w:r>
    </w:p>
    <w:p w:rsidR="003D025A" w:rsidRDefault="003D025A" w:rsidP="00BF3573">
      <w:pPr>
        <w:jc w:val="center"/>
        <w:rPr>
          <w:rFonts w:cs="Times New Roman TUR"/>
          <w:bCs/>
        </w:rPr>
      </w:pPr>
    </w:p>
    <w:p w:rsidR="00BF3573" w:rsidRDefault="00BF3573" w:rsidP="00BF3573">
      <w:pPr>
        <w:ind w:firstLine="5040"/>
        <w:jc w:val="both"/>
        <w:rPr>
          <w:rFonts w:ascii="Times New Roman" w:hAnsi="Times New Roman"/>
        </w:rPr>
      </w:pPr>
    </w:p>
    <w:p w:rsidR="00BF3573" w:rsidRDefault="00BF3573" w:rsidP="00BF3573">
      <w:pPr>
        <w:tabs>
          <w:tab w:val="center" w:pos="5400"/>
        </w:tabs>
        <w:jc w:val="both"/>
        <w:rPr>
          <w:rFonts w:ascii="Times New Roman" w:hAnsi="Times New Roman"/>
        </w:rPr>
      </w:pPr>
    </w:p>
    <w:p w:rsidR="00BF3573" w:rsidRDefault="00BF3573" w:rsidP="00BF3573">
      <w:pPr>
        <w:jc w:val="both"/>
        <w:rPr>
          <w:rFonts w:ascii="Times New Roman" w:hAnsi="Times New Roman"/>
        </w:rPr>
      </w:pPr>
    </w:p>
    <w:p w:rsidR="00BF3573" w:rsidRDefault="00176ADE" w:rsidP="00F3495A">
      <w:pPr>
        <w:tabs>
          <w:tab w:val="center" w:pos="5400"/>
        </w:tabs>
        <w:jc w:val="both"/>
        <w:rPr>
          <w:rFonts w:ascii="Times New Roman" w:hAnsi="Times New Roman"/>
        </w:rPr>
      </w:pPr>
      <w:r>
        <w:rPr>
          <w:rFonts w:ascii="Times New Roman" w:hAnsi="Times New Roman"/>
        </w:rPr>
        <w:tab/>
      </w:r>
      <w:r w:rsidR="008D51CF">
        <w:rPr>
          <w:rFonts w:ascii="Times New Roman" w:hAnsi="Times New Roman"/>
        </w:rPr>
        <w:t>December 3</w:t>
      </w:r>
      <w:r w:rsidR="00F3495A">
        <w:rPr>
          <w:rFonts w:ascii="Times New Roman" w:hAnsi="Times New Roman"/>
        </w:rPr>
        <w:t>, 2019</w:t>
      </w:r>
    </w:p>
    <w:p w:rsidR="00BF3573" w:rsidRDefault="00BF3573" w:rsidP="00BF3573">
      <w:pPr>
        <w:jc w:val="both"/>
        <w:rPr>
          <w:rFonts w:ascii="Times New Roman" w:hAnsi="Times New Roman"/>
        </w:rPr>
      </w:pPr>
    </w:p>
    <w:p w:rsidR="00BF3573" w:rsidRDefault="00BF3573" w:rsidP="00BF3573">
      <w:pPr>
        <w:jc w:val="both"/>
        <w:rPr>
          <w:rFonts w:ascii="Times New Roman" w:hAnsi="Times New Roman"/>
        </w:rPr>
      </w:pPr>
    </w:p>
    <w:p w:rsidR="00BF3573" w:rsidRDefault="00BF3573" w:rsidP="00BF3573">
      <w:pPr>
        <w:tabs>
          <w:tab w:val="center" w:pos="5400"/>
        </w:tabs>
        <w:spacing w:line="360" w:lineRule="auto"/>
        <w:jc w:val="both"/>
        <w:rPr>
          <w:rFonts w:ascii="Times New Roman" w:hAnsi="Times New Roman"/>
        </w:rPr>
      </w:pPr>
      <w:r>
        <w:rPr>
          <w:rFonts w:ascii="Times New Roman" w:hAnsi="Times New Roman"/>
        </w:rPr>
        <w:tab/>
        <w:t>Prepared by:</w:t>
      </w:r>
    </w:p>
    <w:p w:rsidR="00B62021" w:rsidRDefault="00B62021" w:rsidP="00B62021">
      <w:pPr>
        <w:tabs>
          <w:tab w:val="center" w:pos="5400"/>
        </w:tabs>
        <w:spacing w:line="360" w:lineRule="auto"/>
        <w:jc w:val="center"/>
        <w:rPr>
          <w:rFonts w:ascii="Times New Roman" w:hAnsi="Times New Roman"/>
        </w:rPr>
      </w:pPr>
      <w:r>
        <w:rPr>
          <w:rFonts w:ascii="Times New Roman" w:hAnsi="Times New Roman"/>
        </w:rPr>
        <w:t xml:space="preserve">/s/ </w:t>
      </w:r>
      <w:r w:rsidRPr="00B62021">
        <w:rPr>
          <w:rFonts w:ascii="Times New Roman" w:hAnsi="Times New Roman"/>
          <w:i/>
        </w:rPr>
        <w:t>William H Kaempfer</w:t>
      </w:r>
    </w:p>
    <w:p w:rsidR="00B62021" w:rsidRDefault="00BF3573" w:rsidP="00BF3573">
      <w:pPr>
        <w:tabs>
          <w:tab w:val="center" w:pos="5400"/>
        </w:tabs>
        <w:jc w:val="both"/>
        <w:rPr>
          <w:rFonts w:ascii="Times New Roman" w:hAnsi="Times New Roman"/>
        </w:rPr>
      </w:pPr>
      <w:r>
        <w:rPr>
          <w:rFonts w:ascii="Times New Roman" w:hAnsi="Times New Roman"/>
        </w:rPr>
        <w:tab/>
      </w:r>
      <w:r w:rsidR="00E629CE">
        <w:rPr>
          <w:rFonts w:ascii="Times New Roman" w:hAnsi="Times New Roman"/>
        </w:rPr>
        <w:t>William</w:t>
      </w:r>
      <w:r w:rsidR="00046ADF">
        <w:rPr>
          <w:rFonts w:ascii="Times New Roman" w:hAnsi="Times New Roman"/>
        </w:rPr>
        <w:t xml:space="preserve"> </w:t>
      </w:r>
      <w:r>
        <w:rPr>
          <w:rFonts w:ascii="Times New Roman" w:hAnsi="Times New Roman"/>
        </w:rPr>
        <w:t>H. Kaempfer, Ph.D.</w:t>
      </w:r>
      <w:r w:rsidR="00B62021">
        <w:rPr>
          <w:rFonts w:ascii="Times New Roman" w:hAnsi="Times New Roman"/>
        </w:rPr>
        <w:t xml:space="preserve"> </w:t>
      </w:r>
    </w:p>
    <w:p w:rsidR="00BF3573" w:rsidRDefault="00BF3573" w:rsidP="00BF3573">
      <w:pPr>
        <w:tabs>
          <w:tab w:val="center" w:pos="5400"/>
        </w:tabs>
        <w:jc w:val="both"/>
        <w:rPr>
          <w:rFonts w:ascii="Times New Roman" w:hAnsi="Times New Roman"/>
        </w:rPr>
      </w:pPr>
      <w:r>
        <w:rPr>
          <w:rFonts w:ascii="Times New Roman" w:hAnsi="Times New Roman"/>
        </w:rPr>
        <w:tab/>
        <w:t>Consulting Economist</w:t>
      </w:r>
    </w:p>
    <w:p w:rsidR="00BF3573" w:rsidRDefault="00BF3573" w:rsidP="00BF3573">
      <w:pPr>
        <w:tabs>
          <w:tab w:val="center" w:pos="5400"/>
        </w:tabs>
        <w:jc w:val="both"/>
        <w:rPr>
          <w:rFonts w:ascii="Times New Roman" w:hAnsi="Times New Roman"/>
        </w:rPr>
      </w:pPr>
      <w:r>
        <w:rPr>
          <w:rFonts w:ascii="Times New Roman" w:hAnsi="Times New Roman"/>
        </w:rPr>
        <w:tab/>
      </w:r>
      <w:r w:rsidR="00F3495A">
        <w:rPr>
          <w:rFonts w:ascii="Times New Roman" w:hAnsi="Times New Roman"/>
        </w:rPr>
        <w:t>86 Redwood Drive</w:t>
      </w:r>
    </w:p>
    <w:p w:rsidR="00BF3573" w:rsidRDefault="003D025A" w:rsidP="00BF3573">
      <w:pPr>
        <w:tabs>
          <w:tab w:val="center" w:pos="5400"/>
        </w:tabs>
        <w:jc w:val="both"/>
        <w:rPr>
          <w:rFonts w:ascii="Times New Roman" w:hAnsi="Times New Roman"/>
        </w:rPr>
      </w:pPr>
      <w:r>
        <w:rPr>
          <w:rFonts w:ascii="Times New Roman" w:hAnsi="Times New Roman"/>
        </w:rPr>
        <w:tab/>
      </w:r>
      <w:r w:rsidR="00F3495A">
        <w:rPr>
          <w:rFonts w:ascii="Times New Roman" w:hAnsi="Times New Roman"/>
        </w:rPr>
        <w:t>Safety Harbor, FL 34695</w:t>
      </w:r>
    </w:p>
    <w:p w:rsidR="00BF3573" w:rsidRDefault="00BF3573" w:rsidP="00BF3573">
      <w:pPr>
        <w:tabs>
          <w:tab w:val="center" w:pos="5400"/>
        </w:tabs>
        <w:jc w:val="both"/>
        <w:rPr>
          <w:rFonts w:ascii="Times New Roman" w:hAnsi="Times New Roman"/>
        </w:rPr>
      </w:pPr>
      <w:r>
        <w:rPr>
          <w:rFonts w:ascii="Times New Roman" w:hAnsi="Times New Roman"/>
        </w:rPr>
        <w:tab/>
        <w:t xml:space="preserve">(303) </w:t>
      </w:r>
      <w:r w:rsidR="00F3495A">
        <w:rPr>
          <w:rFonts w:ascii="Times New Roman" w:hAnsi="Times New Roman"/>
        </w:rPr>
        <w:t>717-5063</w:t>
      </w:r>
    </w:p>
    <w:p w:rsidR="00BF3573" w:rsidRPr="008C5B24" w:rsidRDefault="00BF3573" w:rsidP="003257C5">
      <w:pPr>
        <w:tabs>
          <w:tab w:val="center" w:pos="5400"/>
        </w:tabs>
        <w:spacing w:line="360" w:lineRule="auto"/>
        <w:jc w:val="center"/>
        <w:rPr>
          <w:rFonts w:ascii="Times New Roman" w:hAnsi="Times New Roman"/>
        </w:rPr>
      </w:pPr>
    </w:p>
    <w:p w:rsidR="00D04FFD" w:rsidRDefault="00D04FFD" w:rsidP="00571968">
      <w:pPr>
        <w:tabs>
          <w:tab w:val="center" w:pos="5400"/>
        </w:tabs>
        <w:jc w:val="center"/>
        <w:rPr>
          <w:rFonts w:ascii="Times New Roman" w:hAnsi="Times New Roman"/>
        </w:rPr>
      </w:pPr>
    </w:p>
    <w:p w:rsidR="00571968" w:rsidRPr="008C5B24" w:rsidRDefault="00571968" w:rsidP="00571968">
      <w:pPr>
        <w:tabs>
          <w:tab w:val="center" w:pos="5400"/>
        </w:tabs>
        <w:jc w:val="center"/>
        <w:rPr>
          <w:rFonts w:ascii="Times New Roman" w:hAnsi="Times New Roman"/>
        </w:rPr>
      </w:pPr>
    </w:p>
    <w:p w:rsidR="00181AC1" w:rsidRPr="008C5B24" w:rsidRDefault="000E42CA" w:rsidP="003257C5">
      <w:pPr>
        <w:tabs>
          <w:tab w:val="center" w:pos="5400"/>
        </w:tabs>
        <w:jc w:val="center"/>
        <w:rPr>
          <w:rFonts w:ascii="Times New Roman" w:hAnsi="Times New Roman"/>
        </w:rPr>
        <w:sectPr w:rsidR="00181AC1" w:rsidRPr="008C5B24">
          <w:pgSz w:w="12240" w:h="15840"/>
          <w:pgMar w:top="1080" w:right="720" w:bottom="720" w:left="720" w:header="1080" w:footer="720" w:gutter="0"/>
          <w:cols w:space="720"/>
          <w:vAlign w:val="center"/>
          <w:noEndnote/>
        </w:sectPr>
      </w:pPr>
      <w:r>
        <w:rPr>
          <w:rFonts w:ascii="Times New Roman" w:hAnsi="Times New Roman"/>
        </w:rPr>
        <w:br w:type="page"/>
      </w:r>
    </w:p>
    <w:p w:rsidR="00394A9A" w:rsidRDefault="00394A9A">
      <w:pPr>
        <w:tabs>
          <w:tab w:val="left" w:pos="-1440"/>
        </w:tabs>
        <w:spacing w:line="360" w:lineRule="auto"/>
        <w:ind w:left="720" w:hanging="720"/>
        <w:jc w:val="both"/>
        <w:rPr>
          <w:rFonts w:ascii="Times New Roman" w:hAnsi="Times New Roman"/>
          <w:b/>
          <w:bCs/>
        </w:rPr>
      </w:pPr>
    </w:p>
    <w:p w:rsidR="00181AC1" w:rsidRPr="008C5B24" w:rsidRDefault="00394A9A">
      <w:pPr>
        <w:tabs>
          <w:tab w:val="left" w:pos="-1440"/>
        </w:tabs>
        <w:spacing w:line="360" w:lineRule="auto"/>
        <w:ind w:left="720" w:hanging="720"/>
        <w:jc w:val="both"/>
        <w:rPr>
          <w:rFonts w:ascii="Times New Roman" w:hAnsi="Times New Roman"/>
        </w:rPr>
      </w:pPr>
      <w:r>
        <w:rPr>
          <w:rFonts w:ascii="Times New Roman" w:hAnsi="Times New Roman"/>
          <w:b/>
          <w:bCs/>
        </w:rPr>
        <w:t>I.</w:t>
      </w:r>
      <w:r w:rsidR="00181AC1" w:rsidRPr="008C5B24">
        <w:rPr>
          <w:rFonts w:ascii="Times New Roman" w:hAnsi="Times New Roman"/>
          <w:b/>
          <w:bCs/>
        </w:rPr>
        <w:tab/>
      </w:r>
      <w:r w:rsidR="00181AC1" w:rsidRPr="008C5B24">
        <w:rPr>
          <w:rFonts w:ascii="Times New Roman" w:hAnsi="Times New Roman"/>
          <w:b/>
          <w:bCs/>
          <w:u w:val="single"/>
        </w:rPr>
        <w:t>Background Information</w:t>
      </w:r>
    </w:p>
    <w:p w:rsidR="00046ADF" w:rsidRDefault="008D51CF" w:rsidP="00C5728D">
      <w:pPr>
        <w:spacing w:line="360" w:lineRule="auto"/>
        <w:ind w:left="720"/>
        <w:jc w:val="both"/>
        <w:rPr>
          <w:rFonts w:ascii="Times New Roman" w:hAnsi="Times New Roman"/>
        </w:rPr>
      </w:pPr>
      <w:r>
        <w:rPr>
          <w:rFonts w:ascii="Times New Roman" w:hAnsi="Times New Roman"/>
        </w:rPr>
        <w:t>M. ----</w:t>
      </w:r>
      <w:r w:rsidR="00046ADF">
        <w:rPr>
          <w:rFonts w:ascii="Times New Roman" w:hAnsi="Times New Roman"/>
        </w:rPr>
        <w:t xml:space="preserve"> is an </w:t>
      </w:r>
      <w:r>
        <w:rPr>
          <w:rFonts w:ascii="Times New Roman" w:hAnsi="Times New Roman"/>
        </w:rPr>
        <w:t>xx</w:t>
      </w:r>
      <w:r w:rsidR="00E87AE3">
        <w:rPr>
          <w:rFonts w:ascii="Times New Roman" w:hAnsi="Times New Roman"/>
        </w:rPr>
        <w:t xml:space="preserve"> year-old </w:t>
      </w:r>
      <w:r w:rsidR="00046ADF">
        <w:rPr>
          <w:rFonts w:ascii="Times New Roman" w:hAnsi="Times New Roman"/>
        </w:rPr>
        <w:t>wo</w:t>
      </w:r>
      <w:r w:rsidR="00332476">
        <w:rPr>
          <w:rFonts w:ascii="Times New Roman" w:hAnsi="Times New Roman"/>
        </w:rPr>
        <w:t xml:space="preserve">man </w:t>
      </w:r>
      <w:r w:rsidR="001C47A9">
        <w:rPr>
          <w:rFonts w:ascii="Times New Roman" w:hAnsi="Times New Roman"/>
        </w:rPr>
        <w:t xml:space="preserve">who </w:t>
      </w:r>
      <w:r w:rsidR="0008123A">
        <w:rPr>
          <w:rFonts w:ascii="Times New Roman" w:hAnsi="Times New Roman"/>
        </w:rPr>
        <w:t>resides in</w:t>
      </w:r>
      <w:r>
        <w:rPr>
          <w:rFonts w:ascii="Times New Roman" w:hAnsi="Times New Roman"/>
        </w:rPr>
        <w:t xml:space="preserve"> xx</w:t>
      </w:r>
      <w:r w:rsidR="00046ADF">
        <w:rPr>
          <w:rFonts w:ascii="Times New Roman" w:hAnsi="Times New Roman"/>
        </w:rPr>
        <w:t xml:space="preserve"> where she gr</w:t>
      </w:r>
      <w:r>
        <w:rPr>
          <w:rFonts w:ascii="Times New Roman" w:hAnsi="Times New Roman"/>
        </w:rPr>
        <w:t>aduated from high school in 20dd</w:t>
      </w:r>
      <w:r w:rsidR="00046ADF">
        <w:rPr>
          <w:rFonts w:ascii="Times New Roman" w:hAnsi="Times New Roman"/>
        </w:rPr>
        <w:t>.  She currently attends college in</w:t>
      </w:r>
      <w:r>
        <w:rPr>
          <w:rFonts w:ascii="Times New Roman" w:hAnsi="Times New Roman"/>
        </w:rPr>
        <w:t xml:space="preserve"> xx</w:t>
      </w:r>
      <w:r w:rsidR="0008123A">
        <w:rPr>
          <w:rFonts w:ascii="Times New Roman" w:hAnsi="Times New Roman"/>
        </w:rPr>
        <w:t>.</w:t>
      </w:r>
      <w:r w:rsidR="004162D8">
        <w:rPr>
          <w:rFonts w:ascii="Times New Roman" w:hAnsi="Times New Roman"/>
        </w:rPr>
        <w:t xml:space="preserve">  </w:t>
      </w:r>
      <w:r w:rsidR="00E87AE3">
        <w:rPr>
          <w:rFonts w:ascii="Times New Roman" w:hAnsi="Times New Roman"/>
        </w:rPr>
        <w:t xml:space="preserve">On </w:t>
      </w:r>
      <w:r w:rsidR="00046ADF">
        <w:rPr>
          <w:rFonts w:ascii="Times New Roman" w:hAnsi="Times New Roman"/>
        </w:rPr>
        <w:t xml:space="preserve">January </w:t>
      </w:r>
      <w:proofErr w:type="spellStart"/>
      <w:r>
        <w:rPr>
          <w:rFonts w:ascii="Times New Roman" w:hAnsi="Times New Roman"/>
        </w:rPr>
        <w:t>dd</w:t>
      </w:r>
      <w:proofErr w:type="spellEnd"/>
      <w:r w:rsidR="00046ADF">
        <w:rPr>
          <w:rFonts w:ascii="Times New Roman" w:hAnsi="Times New Roman"/>
        </w:rPr>
        <w:t>, 20</w:t>
      </w:r>
      <w:r>
        <w:rPr>
          <w:rFonts w:ascii="Times New Roman" w:hAnsi="Times New Roman"/>
        </w:rPr>
        <w:t>dd</w:t>
      </w:r>
      <w:proofErr w:type="gramStart"/>
      <w:r w:rsidR="00E87AE3">
        <w:rPr>
          <w:rFonts w:ascii="Times New Roman" w:hAnsi="Times New Roman"/>
        </w:rPr>
        <w:t>,</w:t>
      </w:r>
      <w:r>
        <w:rPr>
          <w:rFonts w:ascii="Times New Roman" w:hAnsi="Times New Roman"/>
        </w:rPr>
        <w:t xml:space="preserve">  M</w:t>
      </w:r>
      <w:proofErr w:type="gramEnd"/>
      <w:r>
        <w:rPr>
          <w:rFonts w:ascii="Times New Roman" w:hAnsi="Times New Roman"/>
        </w:rPr>
        <w:t>. ----</w:t>
      </w:r>
      <w:r w:rsidR="00E87AE3">
        <w:rPr>
          <w:rFonts w:ascii="Times New Roman" w:hAnsi="Times New Roman"/>
        </w:rPr>
        <w:t xml:space="preserve"> </w:t>
      </w:r>
      <w:r w:rsidR="00F3495A">
        <w:rPr>
          <w:rFonts w:ascii="Times New Roman" w:hAnsi="Times New Roman"/>
        </w:rPr>
        <w:t xml:space="preserve">was </w:t>
      </w:r>
      <w:r w:rsidR="00046ADF">
        <w:rPr>
          <w:rFonts w:ascii="Times New Roman" w:hAnsi="Times New Roman"/>
        </w:rPr>
        <w:t xml:space="preserve">sexually assaulted </w:t>
      </w:r>
      <w:r w:rsidR="00E629CE">
        <w:rPr>
          <w:rFonts w:ascii="Times New Roman" w:hAnsi="Times New Roman"/>
        </w:rPr>
        <w:t xml:space="preserve">at work </w:t>
      </w:r>
      <w:r w:rsidR="00046ADF">
        <w:rPr>
          <w:rFonts w:ascii="Times New Roman" w:hAnsi="Times New Roman"/>
        </w:rPr>
        <w:t>by her supervisor.  Among o</w:t>
      </w:r>
      <w:r w:rsidR="00564DC7">
        <w:rPr>
          <w:rFonts w:ascii="Times New Roman" w:hAnsi="Times New Roman"/>
        </w:rPr>
        <w:t xml:space="preserve">ther </w:t>
      </w:r>
      <w:r w:rsidR="00046ADF">
        <w:rPr>
          <w:rFonts w:ascii="Times New Roman" w:hAnsi="Times New Roman"/>
        </w:rPr>
        <w:t xml:space="preserve">injuries related to the attack, </w:t>
      </w:r>
      <w:r>
        <w:rPr>
          <w:rFonts w:ascii="Times New Roman" w:hAnsi="Times New Roman"/>
        </w:rPr>
        <w:t>M. ----</w:t>
      </w:r>
      <w:r w:rsidR="00046ADF">
        <w:rPr>
          <w:rFonts w:ascii="Times New Roman" w:hAnsi="Times New Roman"/>
        </w:rPr>
        <w:t xml:space="preserve"> suffers from PTSD, anxiety</w:t>
      </w:r>
      <w:r w:rsidR="00881125">
        <w:rPr>
          <w:rFonts w:ascii="Times New Roman" w:hAnsi="Times New Roman"/>
        </w:rPr>
        <w:t>,</w:t>
      </w:r>
      <w:r w:rsidR="00046ADF">
        <w:rPr>
          <w:rFonts w:ascii="Times New Roman" w:hAnsi="Times New Roman"/>
        </w:rPr>
        <w:t xml:space="preserve"> and Major Depressive Disorder stemming from the assault.  These injuries constitute a non-severe disability and will lead to economic losses to </w:t>
      </w:r>
      <w:r>
        <w:rPr>
          <w:rFonts w:ascii="Times New Roman" w:hAnsi="Times New Roman"/>
        </w:rPr>
        <w:t>M. ----</w:t>
      </w:r>
      <w:r w:rsidR="00046ADF">
        <w:rPr>
          <w:rFonts w:ascii="Times New Roman" w:hAnsi="Times New Roman"/>
        </w:rPr>
        <w:t xml:space="preserve"> over the course of her lifetime.</w:t>
      </w:r>
    </w:p>
    <w:p w:rsidR="008F6237" w:rsidRDefault="00046ADF" w:rsidP="00C5728D">
      <w:pPr>
        <w:spacing w:line="360" w:lineRule="auto"/>
        <w:ind w:left="720"/>
        <w:jc w:val="both"/>
        <w:rPr>
          <w:rFonts w:ascii="Times New Roman" w:hAnsi="Times New Roman"/>
        </w:rPr>
      </w:pPr>
      <w:r>
        <w:rPr>
          <w:rFonts w:ascii="Times New Roman" w:hAnsi="Times New Roman"/>
        </w:rPr>
        <w:t xml:space="preserve">   </w:t>
      </w:r>
    </w:p>
    <w:p w:rsidR="007D2DAD" w:rsidRDefault="00564DC7" w:rsidP="00771C67">
      <w:pPr>
        <w:spacing w:line="360" w:lineRule="auto"/>
        <w:ind w:left="720"/>
        <w:jc w:val="both"/>
        <w:rPr>
          <w:rFonts w:ascii="Times New Roman" w:hAnsi="Times New Roman"/>
        </w:rPr>
      </w:pPr>
      <w:r>
        <w:rPr>
          <w:rFonts w:ascii="Times New Roman" w:hAnsi="Times New Roman"/>
        </w:rPr>
        <w:t xml:space="preserve">Individuals suffering from non-severe disabilities can expect to experience </w:t>
      </w:r>
      <w:r w:rsidR="00756027">
        <w:rPr>
          <w:rFonts w:ascii="Times New Roman" w:hAnsi="Times New Roman"/>
        </w:rPr>
        <w:t xml:space="preserve">reduced </w:t>
      </w:r>
      <w:r>
        <w:rPr>
          <w:rFonts w:ascii="Times New Roman" w:hAnsi="Times New Roman"/>
        </w:rPr>
        <w:t xml:space="preserve">earnings over their work life because such disabled individuals are typically last-hired and first-fired in the workplace.  They receive lower pay raises, are promoted more slowly, and have longer periods out of the workforce between jobs.  As a result, Federal data from the Census Bureau documents earnings at about 88 percent of the earnings of non-disabled workers.  </w:t>
      </w:r>
      <w:r w:rsidR="00F77593">
        <w:rPr>
          <w:rFonts w:ascii="Times New Roman" w:hAnsi="Times New Roman"/>
        </w:rPr>
        <w:t xml:space="preserve">In addition, the clinical illnesses suffered by M. ---- will require treatment for some period of time into the future.  </w:t>
      </w:r>
      <w:r w:rsidR="00771C67">
        <w:rPr>
          <w:rFonts w:ascii="Times New Roman" w:hAnsi="Times New Roman"/>
        </w:rPr>
        <w:t>I</w:t>
      </w:r>
      <w:r w:rsidR="00BD206C">
        <w:rPr>
          <w:rFonts w:ascii="Times New Roman" w:hAnsi="Times New Roman"/>
        </w:rPr>
        <w:t>n</w:t>
      </w:r>
      <w:r w:rsidR="00A23099">
        <w:rPr>
          <w:rFonts w:ascii="Times New Roman" w:hAnsi="Times New Roman"/>
        </w:rPr>
        <w:t xml:space="preserve"> </w:t>
      </w:r>
      <w:r>
        <w:rPr>
          <w:rFonts w:ascii="Times New Roman" w:hAnsi="Times New Roman"/>
        </w:rPr>
        <w:t xml:space="preserve">this </w:t>
      </w:r>
      <w:r w:rsidR="00A23099">
        <w:rPr>
          <w:rFonts w:ascii="Times New Roman" w:hAnsi="Times New Roman"/>
        </w:rPr>
        <w:t xml:space="preserve">report </w:t>
      </w:r>
      <w:r w:rsidR="00BD206C">
        <w:rPr>
          <w:rFonts w:ascii="Times New Roman" w:hAnsi="Times New Roman"/>
        </w:rPr>
        <w:t xml:space="preserve">I present </w:t>
      </w:r>
      <w:r w:rsidR="00A23099">
        <w:rPr>
          <w:rFonts w:ascii="Times New Roman" w:hAnsi="Times New Roman"/>
        </w:rPr>
        <w:t xml:space="preserve">an analysis of the </w:t>
      </w:r>
      <w:r w:rsidR="00A23099" w:rsidRPr="008C5B24">
        <w:rPr>
          <w:rFonts w:ascii="Times New Roman" w:hAnsi="Times New Roman"/>
        </w:rPr>
        <w:t>economic losses that</w:t>
      </w:r>
      <w:r w:rsidR="00046ADF">
        <w:rPr>
          <w:rFonts w:ascii="Times New Roman" w:hAnsi="Times New Roman"/>
        </w:rPr>
        <w:t xml:space="preserve"> </w:t>
      </w:r>
      <w:r w:rsidR="008D51CF">
        <w:rPr>
          <w:rFonts w:ascii="Times New Roman" w:hAnsi="Times New Roman"/>
        </w:rPr>
        <w:t>M. ----</w:t>
      </w:r>
      <w:r w:rsidR="008F6237">
        <w:rPr>
          <w:rFonts w:ascii="Times New Roman" w:hAnsi="Times New Roman"/>
        </w:rPr>
        <w:t xml:space="preserve"> has suffered since the time of </w:t>
      </w:r>
      <w:r w:rsidR="00046ADF">
        <w:rPr>
          <w:rFonts w:ascii="Times New Roman" w:hAnsi="Times New Roman"/>
        </w:rPr>
        <w:t xml:space="preserve">her </w:t>
      </w:r>
      <w:r w:rsidR="00F77593">
        <w:rPr>
          <w:rFonts w:ascii="Times New Roman" w:hAnsi="Times New Roman"/>
        </w:rPr>
        <w:t>attack</w:t>
      </w:r>
      <w:r w:rsidR="008F6237">
        <w:rPr>
          <w:rFonts w:ascii="Times New Roman" w:hAnsi="Times New Roman"/>
        </w:rPr>
        <w:t xml:space="preserve"> and that </w:t>
      </w:r>
      <w:r>
        <w:rPr>
          <w:rFonts w:ascii="Times New Roman" w:hAnsi="Times New Roman"/>
        </w:rPr>
        <w:t>s</w:t>
      </w:r>
      <w:r w:rsidR="008F6237">
        <w:rPr>
          <w:rFonts w:ascii="Times New Roman" w:hAnsi="Times New Roman"/>
        </w:rPr>
        <w:t xml:space="preserve">he can be </w:t>
      </w:r>
      <w:r w:rsidR="00BD206C">
        <w:rPr>
          <w:rFonts w:ascii="Times New Roman" w:hAnsi="Times New Roman"/>
        </w:rPr>
        <w:t xml:space="preserve">expect to suffer into the future.  </w:t>
      </w:r>
      <w:r w:rsidR="000A1E77">
        <w:rPr>
          <w:rFonts w:ascii="Times New Roman" w:hAnsi="Times New Roman"/>
        </w:rPr>
        <w:t xml:space="preserve">My report reduces these </w:t>
      </w:r>
      <w:r w:rsidR="00A23099">
        <w:rPr>
          <w:rFonts w:ascii="Times New Roman" w:hAnsi="Times New Roman"/>
        </w:rPr>
        <w:t>losses</w:t>
      </w:r>
      <w:r w:rsidR="000A1E77">
        <w:rPr>
          <w:rFonts w:ascii="Times New Roman" w:hAnsi="Times New Roman"/>
        </w:rPr>
        <w:t xml:space="preserve"> to present value b</w:t>
      </w:r>
      <w:r w:rsidR="00BB6335">
        <w:rPr>
          <w:rFonts w:ascii="Times New Roman" w:hAnsi="Times New Roman"/>
        </w:rPr>
        <w:t>ased upon rea</w:t>
      </w:r>
      <w:r w:rsidR="000A1E77">
        <w:rPr>
          <w:rFonts w:ascii="Times New Roman" w:hAnsi="Times New Roman"/>
        </w:rPr>
        <w:t>sonable economic probabilities.</w:t>
      </w:r>
    </w:p>
    <w:p w:rsidR="00E17AD1" w:rsidRPr="008C5B24" w:rsidRDefault="00E17AD1" w:rsidP="00C5728D">
      <w:pPr>
        <w:spacing w:line="360" w:lineRule="auto"/>
        <w:ind w:left="720"/>
        <w:jc w:val="both"/>
        <w:rPr>
          <w:rFonts w:ascii="Times New Roman" w:hAnsi="Times New Roman"/>
        </w:rPr>
      </w:pPr>
    </w:p>
    <w:p w:rsidR="00181AC1" w:rsidRPr="008C5B24" w:rsidRDefault="008B7AC8">
      <w:pPr>
        <w:tabs>
          <w:tab w:val="left" w:pos="-1440"/>
        </w:tabs>
        <w:spacing w:line="360" w:lineRule="auto"/>
        <w:ind w:left="720" w:hanging="720"/>
        <w:jc w:val="both"/>
        <w:rPr>
          <w:rFonts w:ascii="Times New Roman" w:hAnsi="Times New Roman"/>
        </w:rPr>
      </w:pPr>
      <w:r>
        <w:rPr>
          <w:rFonts w:ascii="Times New Roman" w:hAnsi="Times New Roman"/>
          <w:b/>
          <w:bCs/>
        </w:rPr>
        <w:t>I</w:t>
      </w:r>
      <w:r w:rsidR="00181AC1" w:rsidRPr="008C5B24">
        <w:rPr>
          <w:rFonts w:ascii="Times New Roman" w:hAnsi="Times New Roman"/>
          <w:b/>
          <w:bCs/>
        </w:rPr>
        <w:fldChar w:fldCharType="begin"/>
      </w:r>
      <w:r w:rsidR="00181AC1" w:rsidRPr="008C5B24">
        <w:rPr>
          <w:rFonts w:ascii="Times New Roman" w:hAnsi="Times New Roman"/>
          <w:b/>
          <w:bCs/>
        </w:rPr>
        <w:instrText>LISTNUM 1 \l 1</w:instrText>
      </w:r>
      <w:r w:rsidR="00181AC1" w:rsidRPr="008C5B24">
        <w:rPr>
          <w:rFonts w:ascii="Times New Roman" w:hAnsi="Times New Roman"/>
          <w:b/>
          <w:bCs/>
        </w:rPr>
        <w:fldChar w:fldCharType="end"/>
      </w:r>
      <w:r w:rsidR="00181AC1" w:rsidRPr="008C5B24">
        <w:rPr>
          <w:rFonts w:ascii="Times New Roman" w:hAnsi="Times New Roman"/>
          <w:b/>
          <w:bCs/>
        </w:rPr>
        <w:tab/>
      </w:r>
      <w:r w:rsidR="00181AC1" w:rsidRPr="008C5B24">
        <w:rPr>
          <w:rFonts w:ascii="Times New Roman" w:hAnsi="Times New Roman"/>
          <w:b/>
          <w:bCs/>
          <w:u w:val="single"/>
        </w:rPr>
        <w:t>Basis of Economic Evaluation</w:t>
      </w:r>
    </w:p>
    <w:p w:rsidR="00181AC1" w:rsidRDefault="00181AC1">
      <w:pPr>
        <w:spacing w:line="360" w:lineRule="auto"/>
        <w:ind w:left="720"/>
        <w:jc w:val="both"/>
        <w:rPr>
          <w:rFonts w:ascii="Times New Roman" w:hAnsi="Times New Roman"/>
        </w:rPr>
      </w:pPr>
      <w:r w:rsidRPr="008C5B24">
        <w:rPr>
          <w:rFonts w:ascii="Times New Roman" w:hAnsi="Times New Roman"/>
        </w:rPr>
        <w:t xml:space="preserve">The following documents were reviewed in </w:t>
      </w:r>
      <w:r w:rsidR="00564DC7">
        <w:rPr>
          <w:rFonts w:ascii="Times New Roman" w:hAnsi="Times New Roman"/>
        </w:rPr>
        <w:t xml:space="preserve">this </w:t>
      </w:r>
      <w:r w:rsidRPr="008C5B24">
        <w:rPr>
          <w:rFonts w:ascii="Times New Roman" w:hAnsi="Times New Roman"/>
        </w:rPr>
        <w:t xml:space="preserve">case while preparing an evaluation </w:t>
      </w:r>
      <w:proofErr w:type="gramStart"/>
      <w:r w:rsidRPr="008C5B24">
        <w:rPr>
          <w:rFonts w:ascii="Times New Roman" w:hAnsi="Times New Roman"/>
        </w:rPr>
        <w:t xml:space="preserve">of </w:t>
      </w:r>
      <w:r w:rsidR="00046ADF">
        <w:rPr>
          <w:rFonts w:ascii="Times New Roman" w:hAnsi="Times New Roman"/>
        </w:rPr>
        <w:t xml:space="preserve"> </w:t>
      </w:r>
      <w:r w:rsidR="008D51CF">
        <w:rPr>
          <w:rFonts w:ascii="Times New Roman" w:hAnsi="Times New Roman"/>
        </w:rPr>
        <w:t>M</w:t>
      </w:r>
      <w:proofErr w:type="gramEnd"/>
      <w:r w:rsidR="008D51CF">
        <w:rPr>
          <w:rFonts w:ascii="Times New Roman" w:hAnsi="Times New Roman"/>
        </w:rPr>
        <w:t>. ----‘</w:t>
      </w:r>
      <w:r w:rsidR="00546FC1">
        <w:rPr>
          <w:rFonts w:ascii="Times New Roman" w:hAnsi="Times New Roman"/>
        </w:rPr>
        <w:t>s</w:t>
      </w:r>
      <w:r w:rsidR="00771C67">
        <w:rPr>
          <w:rFonts w:ascii="Times New Roman" w:hAnsi="Times New Roman"/>
        </w:rPr>
        <w:t xml:space="preserve"> </w:t>
      </w:r>
      <w:r w:rsidRPr="008C5B24">
        <w:rPr>
          <w:rFonts w:ascii="Times New Roman" w:hAnsi="Times New Roman"/>
        </w:rPr>
        <w:t>probable economic losses:</w:t>
      </w:r>
    </w:p>
    <w:p w:rsidR="000E496F" w:rsidRDefault="000E496F" w:rsidP="00206991">
      <w:pPr>
        <w:spacing w:line="360" w:lineRule="auto"/>
        <w:ind w:left="1080"/>
        <w:jc w:val="both"/>
        <w:rPr>
          <w:rFonts w:ascii="Times New Roman" w:hAnsi="Times New Roman"/>
        </w:rPr>
      </w:pPr>
    </w:p>
    <w:p w:rsidR="00A23099" w:rsidRDefault="00112969" w:rsidP="000664D0">
      <w:pPr>
        <w:numPr>
          <w:ilvl w:val="0"/>
          <w:numId w:val="10"/>
        </w:numPr>
        <w:spacing w:line="360" w:lineRule="auto"/>
        <w:jc w:val="both"/>
        <w:rPr>
          <w:rFonts w:ascii="Times New Roman" w:hAnsi="Times New Roman"/>
        </w:rPr>
      </w:pPr>
      <w:r w:rsidRPr="008F6237">
        <w:rPr>
          <w:rFonts w:ascii="Times New Roman" w:hAnsi="Times New Roman"/>
        </w:rPr>
        <w:t>The</w:t>
      </w:r>
      <w:r w:rsidR="008F6237">
        <w:rPr>
          <w:rFonts w:ascii="Times New Roman" w:hAnsi="Times New Roman"/>
        </w:rPr>
        <w:t xml:space="preserve"> </w:t>
      </w:r>
      <w:r w:rsidR="00564DC7">
        <w:rPr>
          <w:rFonts w:ascii="Times New Roman" w:hAnsi="Times New Roman"/>
        </w:rPr>
        <w:t xml:space="preserve">Amended </w:t>
      </w:r>
      <w:r w:rsidRPr="008F6237">
        <w:rPr>
          <w:rFonts w:ascii="Times New Roman" w:hAnsi="Times New Roman"/>
        </w:rPr>
        <w:t>Complaint in th</w:t>
      </w:r>
      <w:r w:rsidR="00E629CE">
        <w:rPr>
          <w:rFonts w:ascii="Times New Roman" w:hAnsi="Times New Roman"/>
        </w:rPr>
        <w:t>is</w:t>
      </w:r>
      <w:r w:rsidRPr="008F6237">
        <w:rPr>
          <w:rFonts w:ascii="Times New Roman" w:hAnsi="Times New Roman"/>
        </w:rPr>
        <w:t xml:space="preserve"> matter;</w:t>
      </w:r>
      <w:r w:rsidR="009F3921" w:rsidRPr="008F6237">
        <w:rPr>
          <w:rFonts w:ascii="Times New Roman" w:hAnsi="Times New Roman"/>
        </w:rPr>
        <w:t xml:space="preserve"> </w:t>
      </w:r>
    </w:p>
    <w:p w:rsidR="00564DC7" w:rsidRPr="00564DC7" w:rsidRDefault="00564DC7" w:rsidP="008117C6">
      <w:pPr>
        <w:numPr>
          <w:ilvl w:val="0"/>
          <w:numId w:val="10"/>
        </w:numPr>
        <w:spacing w:line="360" w:lineRule="auto"/>
        <w:jc w:val="both"/>
        <w:rPr>
          <w:rFonts w:ascii="Times New Roman" w:hAnsi="Times New Roman"/>
        </w:rPr>
      </w:pPr>
      <w:r w:rsidRPr="00564DC7">
        <w:rPr>
          <w:rFonts w:ascii="Times New Roman" w:hAnsi="Times New Roman"/>
        </w:rPr>
        <w:t>An Evaluation prepared by</w:t>
      </w:r>
      <w:r w:rsidR="008D51CF">
        <w:rPr>
          <w:rFonts w:ascii="Times New Roman" w:hAnsi="Times New Roman"/>
        </w:rPr>
        <w:t xml:space="preserve"> Dr. XX</w:t>
      </w:r>
      <w:r>
        <w:rPr>
          <w:rFonts w:ascii="Times New Roman" w:hAnsi="Times New Roman"/>
        </w:rPr>
        <w:t xml:space="preserve">, </w:t>
      </w:r>
      <w:r w:rsidRPr="00564DC7">
        <w:rPr>
          <w:rFonts w:ascii="Times New Roman" w:hAnsi="Times New Roman"/>
        </w:rPr>
        <w:t>Licensed Clinical Psychologist</w:t>
      </w:r>
      <w:r w:rsidR="008D51CF">
        <w:rPr>
          <w:rFonts w:ascii="Times New Roman" w:hAnsi="Times New Roman"/>
        </w:rPr>
        <w:t xml:space="preserve">, dated May </w:t>
      </w:r>
      <w:proofErr w:type="spellStart"/>
      <w:r w:rsidR="008D51CF">
        <w:rPr>
          <w:rFonts w:ascii="Times New Roman" w:hAnsi="Times New Roman"/>
        </w:rPr>
        <w:t>dd</w:t>
      </w:r>
      <w:proofErr w:type="spellEnd"/>
      <w:r w:rsidR="008D51CF">
        <w:rPr>
          <w:rFonts w:ascii="Times New Roman" w:hAnsi="Times New Roman"/>
        </w:rPr>
        <w:t>, 20dd</w:t>
      </w:r>
      <w:r>
        <w:rPr>
          <w:rFonts w:ascii="Times New Roman" w:hAnsi="Times New Roman"/>
        </w:rPr>
        <w:t>;</w:t>
      </w:r>
      <w:r w:rsidR="002035AB">
        <w:rPr>
          <w:rFonts w:ascii="Times New Roman" w:hAnsi="Times New Roman"/>
        </w:rPr>
        <w:t xml:space="preserve"> and</w:t>
      </w:r>
    </w:p>
    <w:p w:rsidR="008F6237" w:rsidRDefault="00564DC7" w:rsidP="000664D0">
      <w:pPr>
        <w:numPr>
          <w:ilvl w:val="0"/>
          <w:numId w:val="10"/>
        </w:numPr>
        <w:spacing w:line="360" w:lineRule="auto"/>
        <w:jc w:val="both"/>
        <w:rPr>
          <w:rFonts w:ascii="Times New Roman" w:hAnsi="Times New Roman"/>
        </w:rPr>
      </w:pPr>
      <w:r>
        <w:rPr>
          <w:rFonts w:ascii="Times New Roman" w:hAnsi="Times New Roman"/>
        </w:rPr>
        <w:t>A Treatment Summary and Assessment prepared by</w:t>
      </w:r>
      <w:r w:rsidR="008D51CF">
        <w:rPr>
          <w:rFonts w:ascii="Times New Roman" w:hAnsi="Times New Roman"/>
        </w:rPr>
        <w:t xml:space="preserve"> Dr. YY</w:t>
      </w:r>
      <w:r>
        <w:rPr>
          <w:rFonts w:ascii="Times New Roman" w:hAnsi="Times New Roman"/>
        </w:rPr>
        <w:t xml:space="preserve">, Licensed Professional </w:t>
      </w:r>
      <w:r w:rsidR="002035AB">
        <w:rPr>
          <w:rFonts w:ascii="Times New Roman" w:hAnsi="Times New Roman"/>
        </w:rPr>
        <w:t xml:space="preserve">Counselor, dated March </w:t>
      </w:r>
      <w:proofErr w:type="spellStart"/>
      <w:r w:rsidR="008D51CF">
        <w:rPr>
          <w:rFonts w:ascii="Times New Roman" w:hAnsi="Times New Roman"/>
        </w:rPr>
        <w:t>dd</w:t>
      </w:r>
      <w:proofErr w:type="spellEnd"/>
      <w:r w:rsidR="002035AB">
        <w:rPr>
          <w:rFonts w:ascii="Times New Roman" w:hAnsi="Times New Roman"/>
        </w:rPr>
        <w:t>, 20</w:t>
      </w:r>
      <w:r w:rsidR="008D51CF">
        <w:rPr>
          <w:rFonts w:ascii="Times New Roman" w:hAnsi="Times New Roman"/>
        </w:rPr>
        <w:t>dd</w:t>
      </w:r>
      <w:r w:rsidR="002035AB">
        <w:rPr>
          <w:rFonts w:ascii="Times New Roman" w:hAnsi="Times New Roman"/>
        </w:rPr>
        <w:t xml:space="preserve">. </w:t>
      </w:r>
    </w:p>
    <w:p w:rsidR="00AD41DC" w:rsidRDefault="00AD41DC" w:rsidP="00AD41DC">
      <w:pPr>
        <w:spacing w:line="360" w:lineRule="auto"/>
        <w:jc w:val="both"/>
        <w:rPr>
          <w:rFonts w:ascii="Times New Roman" w:hAnsi="Times New Roman"/>
        </w:rPr>
      </w:pPr>
    </w:p>
    <w:p w:rsidR="00756027" w:rsidRDefault="00AD41DC" w:rsidP="002035AB">
      <w:pPr>
        <w:spacing w:line="360" w:lineRule="auto"/>
        <w:ind w:left="720"/>
        <w:jc w:val="both"/>
        <w:rPr>
          <w:rFonts w:ascii="Times New Roman" w:hAnsi="Times New Roman"/>
        </w:rPr>
      </w:pPr>
      <w:r w:rsidRPr="00AD41DC">
        <w:rPr>
          <w:rFonts w:ascii="Times New Roman" w:hAnsi="Times New Roman"/>
        </w:rPr>
        <w:t xml:space="preserve">In addition to the above specific information relating to </w:t>
      </w:r>
      <w:r w:rsidR="00564DC7">
        <w:rPr>
          <w:rFonts w:ascii="Times New Roman" w:hAnsi="Times New Roman"/>
        </w:rPr>
        <w:t xml:space="preserve">this </w:t>
      </w:r>
      <w:r w:rsidRPr="00AD41DC">
        <w:rPr>
          <w:rFonts w:ascii="Times New Roman" w:hAnsi="Times New Roman"/>
        </w:rPr>
        <w:t xml:space="preserve">case, </w:t>
      </w:r>
      <w:r w:rsidR="00647EF5" w:rsidRPr="00647EF5">
        <w:rPr>
          <w:rFonts w:ascii="Times New Roman" w:hAnsi="Times New Roman"/>
        </w:rPr>
        <w:t xml:space="preserve">I also relied on general economic data including current and historical relationships between interest rates, inflation, and wage growth in order to establish a net discount rate.  </w:t>
      </w:r>
      <w:r w:rsidR="00564DC7">
        <w:rPr>
          <w:rFonts w:ascii="Times New Roman" w:hAnsi="Times New Roman"/>
        </w:rPr>
        <w:t xml:space="preserve">This </w:t>
      </w:r>
      <w:r w:rsidR="00647EF5" w:rsidRPr="00647EF5">
        <w:rPr>
          <w:rFonts w:ascii="Times New Roman" w:hAnsi="Times New Roman"/>
        </w:rPr>
        <w:t xml:space="preserve">data is available from the Federal </w:t>
      </w:r>
      <w:r w:rsidR="00647EF5" w:rsidRPr="00647EF5">
        <w:rPr>
          <w:rFonts w:ascii="Times New Roman" w:hAnsi="Times New Roman"/>
        </w:rPr>
        <w:lastRenderedPageBreak/>
        <w:t xml:space="preserve">Reserve of St. Louis at FRED:  </w:t>
      </w:r>
      <w:hyperlink r:id="rId7" w:history="1">
        <w:r w:rsidR="00647EF5" w:rsidRPr="007F2EF3">
          <w:rPr>
            <w:rStyle w:val="Hyperlink"/>
            <w:rFonts w:ascii="Times New Roman" w:hAnsi="Times New Roman"/>
          </w:rPr>
          <w:t>https://research.stlouisfed.org/fred2/</w:t>
        </w:r>
      </w:hyperlink>
      <w:r w:rsidR="00647EF5">
        <w:rPr>
          <w:rFonts w:ascii="Times New Roman" w:hAnsi="Times New Roman"/>
        </w:rPr>
        <w:t xml:space="preserve"> </w:t>
      </w:r>
      <w:r w:rsidR="002035AB">
        <w:rPr>
          <w:rFonts w:ascii="Times New Roman" w:hAnsi="Times New Roman"/>
        </w:rPr>
        <w:t xml:space="preserve"> </w:t>
      </w:r>
    </w:p>
    <w:p w:rsidR="00647EF5" w:rsidRDefault="002035AB" w:rsidP="002035AB">
      <w:pPr>
        <w:spacing w:line="360" w:lineRule="auto"/>
        <w:ind w:left="720"/>
        <w:jc w:val="both"/>
        <w:rPr>
          <w:rFonts w:ascii="Times New Roman" w:hAnsi="Times New Roman"/>
        </w:rPr>
      </w:pPr>
      <w:r>
        <w:rPr>
          <w:rFonts w:ascii="Times New Roman" w:hAnsi="Times New Roman"/>
        </w:rPr>
        <w:t xml:space="preserve">Census </w:t>
      </w:r>
      <w:r w:rsidR="00E629CE">
        <w:rPr>
          <w:rFonts w:ascii="Times New Roman" w:hAnsi="Times New Roman"/>
        </w:rPr>
        <w:t xml:space="preserve">Bureau </w:t>
      </w:r>
      <w:r>
        <w:rPr>
          <w:rFonts w:ascii="Times New Roman" w:hAnsi="Times New Roman"/>
        </w:rPr>
        <w:t>data on</w:t>
      </w:r>
      <w:r w:rsidR="00E629CE">
        <w:rPr>
          <w:rFonts w:ascii="Times New Roman" w:hAnsi="Times New Roman"/>
        </w:rPr>
        <w:t xml:space="preserve"> the</w:t>
      </w:r>
      <w:r>
        <w:rPr>
          <w:rFonts w:ascii="Times New Roman" w:hAnsi="Times New Roman"/>
        </w:rPr>
        <w:t xml:space="preserve"> life-time earnings </w:t>
      </w:r>
      <w:r w:rsidR="00E629CE">
        <w:rPr>
          <w:rFonts w:ascii="Times New Roman" w:hAnsi="Times New Roman"/>
        </w:rPr>
        <w:t xml:space="preserve">pattern </w:t>
      </w:r>
      <w:r>
        <w:rPr>
          <w:rFonts w:ascii="Times New Roman" w:hAnsi="Times New Roman"/>
        </w:rPr>
        <w:t>for women with a</w:t>
      </w:r>
      <w:r w:rsidR="00E629CE">
        <w:rPr>
          <w:rFonts w:ascii="Times New Roman" w:hAnsi="Times New Roman"/>
        </w:rPr>
        <w:t>t least a</w:t>
      </w:r>
      <w:r>
        <w:rPr>
          <w:rFonts w:ascii="Times New Roman" w:hAnsi="Times New Roman"/>
        </w:rPr>
        <w:t xml:space="preserve"> </w:t>
      </w:r>
      <w:proofErr w:type="spellStart"/>
      <w:r>
        <w:rPr>
          <w:rFonts w:ascii="Times New Roman" w:hAnsi="Times New Roman"/>
        </w:rPr>
        <w:t>Bachelors</w:t>
      </w:r>
      <w:proofErr w:type="spellEnd"/>
      <w:r>
        <w:rPr>
          <w:rFonts w:ascii="Times New Roman" w:hAnsi="Times New Roman"/>
        </w:rPr>
        <w:t xml:space="preserve"> Degree is found at </w:t>
      </w:r>
      <w:hyperlink r:id="rId8" w:history="1">
        <w:r w:rsidRPr="00544ED7">
          <w:rPr>
            <w:rStyle w:val="Hyperlink"/>
            <w:rFonts w:ascii="Times New Roman" w:hAnsi="Times New Roman"/>
          </w:rPr>
          <w:t>https://www.census.gov/data/tables/time-series/demo/income-poverty/historical-income-people.html</w:t>
        </w:r>
      </w:hyperlink>
      <w:r>
        <w:rPr>
          <w:rFonts w:ascii="Times New Roman" w:hAnsi="Times New Roman"/>
        </w:rPr>
        <w:t xml:space="preserve"> and reproduced at the end of this report.  </w:t>
      </w:r>
      <w:r w:rsidR="00E629CE">
        <w:rPr>
          <w:rFonts w:ascii="Times New Roman" w:hAnsi="Times New Roman"/>
        </w:rPr>
        <w:t>Finally, I relied on Americans with Disabilities: 2000</w:t>
      </w:r>
      <w:r w:rsidR="00756027">
        <w:rPr>
          <w:rFonts w:ascii="Times New Roman" w:hAnsi="Times New Roman"/>
        </w:rPr>
        <w:t>, a</w:t>
      </w:r>
      <w:r w:rsidR="00E629CE">
        <w:rPr>
          <w:rFonts w:ascii="Times New Roman" w:hAnsi="Times New Roman"/>
        </w:rPr>
        <w:t xml:space="preserve"> report of the Census Bureau</w:t>
      </w:r>
      <w:r w:rsidR="00756027">
        <w:rPr>
          <w:rFonts w:ascii="Times New Roman" w:hAnsi="Times New Roman"/>
        </w:rPr>
        <w:t>,</w:t>
      </w:r>
      <w:r w:rsidR="00E629CE">
        <w:rPr>
          <w:rFonts w:ascii="Times New Roman" w:hAnsi="Times New Roman"/>
        </w:rPr>
        <w:t xml:space="preserve"> for income loss impacts.</w:t>
      </w:r>
    </w:p>
    <w:p w:rsidR="002035AB" w:rsidRDefault="002035AB" w:rsidP="002035AB">
      <w:pPr>
        <w:spacing w:line="360" w:lineRule="auto"/>
        <w:ind w:left="720"/>
        <w:jc w:val="both"/>
        <w:rPr>
          <w:rFonts w:ascii="Times New Roman" w:hAnsi="Times New Roman"/>
        </w:rPr>
      </w:pPr>
    </w:p>
    <w:p w:rsidR="002035AB" w:rsidRPr="002035AB" w:rsidRDefault="002035AB" w:rsidP="002035AB">
      <w:pPr>
        <w:spacing w:line="360" w:lineRule="auto"/>
        <w:ind w:left="720"/>
        <w:jc w:val="both"/>
        <w:rPr>
          <w:rFonts w:ascii="Times New Roman" w:hAnsi="Times New Roman"/>
        </w:rPr>
      </w:pPr>
    </w:p>
    <w:p w:rsidR="00181AC1" w:rsidRPr="008C5B24" w:rsidRDefault="008B7AC8">
      <w:pPr>
        <w:spacing w:line="360" w:lineRule="auto"/>
        <w:jc w:val="both"/>
        <w:rPr>
          <w:rFonts w:ascii="Times New Roman" w:hAnsi="Times New Roman"/>
        </w:rPr>
      </w:pPr>
      <w:r>
        <w:rPr>
          <w:rFonts w:ascii="Times New Roman" w:hAnsi="Times New Roman"/>
          <w:b/>
          <w:bCs/>
        </w:rPr>
        <w:t>I</w:t>
      </w:r>
      <w:r w:rsidR="00181AC1" w:rsidRPr="008C5B24">
        <w:rPr>
          <w:rFonts w:ascii="Times New Roman" w:hAnsi="Times New Roman"/>
          <w:b/>
          <w:bCs/>
        </w:rPr>
        <w:fldChar w:fldCharType="begin"/>
      </w:r>
      <w:r w:rsidR="00181AC1" w:rsidRPr="008C5B24">
        <w:rPr>
          <w:rFonts w:ascii="Times New Roman" w:hAnsi="Times New Roman"/>
          <w:b/>
          <w:bCs/>
        </w:rPr>
        <w:instrText>LISTNUM 1 \l 1</w:instrText>
      </w:r>
      <w:r w:rsidR="00181AC1" w:rsidRPr="008C5B24">
        <w:rPr>
          <w:rFonts w:ascii="Times New Roman" w:hAnsi="Times New Roman"/>
          <w:b/>
          <w:bCs/>
        </w:rPr>
        <w:fldChar w:fldCharType="end"/>
      </w:r>
      <w:r w:rsidR="00181AC1" w:rsidRPr="008C5B24">
        <w:rPr>
          <w:rFonts w:ascii="Times New Roman" w:hAnsi="Times New Roman"/>
          <w:b/>
          <w:bCs/>
        </w:rPr>
        <w:tab/>
      </w:r>
      <w:r w:rsidR="00181AC1" w:rsidRPr="008C5B24">
        <w:rPr>
          <w:rFonts w:ascii="Times New Roman" w:hAnsi="Times New Roman"/>
          <w:b/>
          <w:bCs/>
          <w:u w:val="single"/>
        </w:rPr>
        <w:t xml:space="preserve">Evaluation of Economic Loss </w:t>
      </w:r>
    </w:p>
    <w:p w:rsidR="0011407D" w:rsidRDefault="0011407D" w:rsidP="0011407D">
      <w:pPr>
        <w:spacing w:line="360" w:lineRule="auto"/>
        <w:ind w:left="720"/>
        <w:jc w:val="both"/>
        <w:rPr>
          <w:rFonts w:ascii="Times New Roman" w:hAnsi="Times New Roman"/>
        </w:rPr>
      </w:pPr>
      <w:r w:rsidRPr="008C5B24">
        <w:rPr>
          <w:rFonts w:ascii="Times New Roman" w:hAnsi="Times New Roman"/>
        </w:rPr>
        <w:t xml:space="preserve">Probable economic losses </w:t>
      </w:r>
      <w:r w:rsidR="00E629CE">
        <w:rPr>
          <w:rFonts w:ascii="Times New Roman" w:hAnsi="Times New Roman"/>
        </w:rPr>
        <w:t xml:space="preserve">of earnings </w:t>
      </w:r>
      <w:r w:rsidRPr="008C5B24">
        <w:rPr>
          <w:rFonts w:ascii="Times New Roman" w:hAnsi="Times New Roman"/>
        </w:rPr>
        <w:t>are reported for future time periods</w:t>
      </w:r>
      <w:r w:rsidR="00E629CE">
        <w:rPr>
          <w:rFonts w:ascii="Times New Roman" w:hAnsi="Times New Roman"/>
        </w:rPr>
        <w:t xml:space="preserve"> alone beginning with the date of the expected post-baccalaureate e</w:t>
      </w:r>
      <w:r w:rsidR="00BE1040">
        <w:rPr>
          <w:rFonts w:ascii="Times New Roman" w:hAnsi="Times New Roman"/>
        </w:rPr>
        <w:t>ntry into the labor force for</w:t>
      </w:r>
      <w:r w:rsidR="00E629CE">
        <w:rPr>
          <w:rFonts w:ascii="Times New Roman" w:hAnsi="Times New Roman"/>
        </w:rPr>
        <w:t xml:space="preserve"> </w:t>
      </w:r>
      <w:r w:rsidR="008D51CF">
        <w:rPr>
          <w:rFonts w:ascii="Times New Roman" w:hAnsi="Times New Roman"/>
        </w:rPr>
        <w:t>M. ----</w:t>
      </w:r>
      <w:r w:rsidR="00E629CE">
        <w:rPr>
          <w:rFonts w:ascii="Times New Roman" w:hAnsi="Times New Roman"/>
        </w:rPr>
        <w:t xml:space="preserve"> in 2023. The loss </w:t>
      </w:r>
      <w:r w:rsidR="00BE1040">
        <w:rPr>
          <w:rFonts w:ascii="Times New Roman" w:hAnsi="Times New Roman"/>
        </w:rPr>
        <w:t xml:space="preserve">period continues throughout </w:t>
      </w:r>
      <w:r w:rsidR="008D51CF">
        <w:rPr>
          <w:rFonts w:ascii="Times New Roman" w:hAnsi="Times New Roman"/>
        </w:rPr>
        <w:t>M. ----</w:t>
      </w:r>
      <w:r w:rsidR="00E629CE">
        <w:rPr>
          <w:rFonts w:ascii="Times New Roman" w:hAnsi="Times New Roman"/>
        </w:rPr>
        <w:t>’s expected work life.</w:t>
      </w:r>
    </w:p>
    <w:p w:rsidR="00E629CE" w:rsidRDefault="00E629CE" w:rsidP="0011407D">
      <w:pPr>
        <w:spacing w:line="360" w:lineRule="auto"/>
        <w:ind w:left="720"/>
        <w:jc w:val="both"/>
        <w:rPr>
          <w:rFonts w:ascii="Times New Roman" w:hAnsi="Times New Roman"/>
        </w:rPr>
      </w:pPr>
    </w:p>
    <w:p w:rsidR="009A283A" w:rsidRPr="009A283A" w:rsidRDefault="009A283A" w:rsidP="009A283A">
      <w:pPr>
        <w:spacing w:line="360" w:lineRule="auto"/>
        <w:ind w:left="720"/>
        <w:jc w:val="both"/>
        <w:rPr>
          <w:rFonts w:ascii="Times New Roman" w:hAnsi="Times New Roman"/>
        </w:rPr>
      </w:pPr>
      <w:r w:rsidRPr="009A283A">
        <w:rPr>
          <w:rFonts w:ascii="Times New Roman" w:hAnsi="Times New Roman"/>
        </w:rPr>
        <w:t xml:space="preserve">In </w:t>
      </w:r>
      <w:r w:rsidR="00564DC7">
        <w:rPr>
          <w:rFonts w:ascii="Times New Roman" w:hAnsi="Times New Roman"/>
        </w:rPr>
        <w:t xml:space="preserve">this </w:t>
      </w:r>
      <w:r w:rsidRPr="009A283A">
        <w:rPr>
          <w:rFonts w:ascii="Times New Roman" w:hAnsi="Times New Roman"/>
        </w:rPr>
        <w:t>report, future economic contributions are set forth in today's dollars, and the stream of future contributions is discounted to net present value. The discounting process involves a simultaneous consideration of inflation of wages and prices over time, as well as the probable interest returns on a lump-sum current period valuation. The appropriate "net" discount rate of</w:t>
      </w:r>
      <w:r w:rsidR="000664D0">
        <w:rPr>
          <w:rFonts w:ascii="Times New Roman" w:hAnsi="Times New Roman"/>
        </w:rPr>
        <w:t xml:space="preserve"> 0.9 percent</w:t>
      </w:r>
      <w:r w:rsidRPr="009A283A">
        <w:rPr>
          <w:rFonts w:ascii="Times New Roman" w:hAnsi="Times New Roman"/>
        </w:rPr>
        <w:t xml:space="preserve"> is based on current, continuous maturity interest rates on Treasury Inflation Protected Securities (TIPS) as recorded on FRED, the economic data site of the Federal Reserve Bank of St. Louis.</w:t>
      </w:r>
    </w:p>
    <w:p w:rsidR="009A283A" w:rsidRPr="009A283A" w:rsidRDefault="009A283A" w:rsidP="009A283A">
      <w:pPr>
        <w:spacing w:line="360" w:lineRule="auto"/>
        <w:ind w:left="720"/>
        <w:jc w:val="both"/>
        <w:rPr>
          <w:rFonts w:ascii="Times New Roman" w:hAnsi="Times New Roman"/>
        </w:rPr>
      </w:pPr>
    </w:p>
    <w:p w:rsidR="009A283A" w:rsidRDefault="009A283A" w:rsidP="009A283A">
      <w:pPr>
        <w:spacing w:line="360" w:lineRule="auto"/>
        <w:ind w:left="720"/>
        <w:jc w:val="both"/>
        <w:rPr>
          <w:rFonts w:ascii="Times New Roman" w:hAnsi="Times New Roman"/>
        </w:rPr>
      </w:pPr>
      <w:r w:rsidRPr="009A283A">
        <w:rPr>
          <w:rFonts w:ascii="Times New Roman" w:hAnsi="Times New Roman"/>
        </w:rPr>
        <w:t xml:space="preserve">Based on the information reviewed in </w:t>
      </w:r>
      <w:r w:rsidR="00564DC7">
        <w:rPr>
          <w:rFonts w:ascii="Times New Roman" w:hAnsi="Times New Roman"/>
        </w:rPr>
        <w:t xml:space="preserve">this </w:t>
      </w:r>
      <w:r w:rsidRPr="009A283A">
        <w:rPr>
          <w:rFonts w:ascii="Times New Roman" w:hAnsi="Times New Roman"/>
        </w:rPr>
        <w:t xml:space="preserve">matter, the following assumptions have been made in order to reach my opinions as to </w:t>
      </w:r>
      <w:r w:rsidR="008D51CF">
        <w:rPr>
          <w:rFonts w:ascii="Times New Roman" w:hAnsi="Times New Roman"/>
        </w:rPr>
        <w:t>M. ----</w:t>
      </w:r>
      <w:r w:rsidRPr="009A283A">
        <w:rPr>
          <w:rFonts w:ascii="Times New Roman" w:hAnsi="Times New Roman"/>
        </w:rPr>
        <w:t>’s probable future economic contributions:</w:t>
      </w:r>
    </w:p>
    <w:p w:rsidR="0011407D" w:rsidRDefault="0011407D" w:rsidP="0011407D">
      <w:pPr>
        <w:spacing w:line="360" w:lineRule="auto"/>
        <w:ind w:left="720"/>
        <w:jc w:val="both"/>
        <w:rPr>
          <w:rFonts w:ascii="Times New Roman" w:hAnsi="Times New Roman"/>
        </w:rPr>
      </w:pPr>
      <w:r>
        <w:rPr>
          <w:rFonts w:ascii="Times New Roman" w:hAnsi="Times New Roman"/>
        </w:rPr>
        <w:t xml:space="preserve">  </w:t>
      </w:r>
    </w:p>
    <w:p w:rsidR="00EA27B9" w:rsidRDefault="00EA27B9" w:rsidP="00D06BA7">
      <w:pPr>
        <w:pStyle w:val="ListParagraph"/>
        <w:numPr>
          <w:ilvl w:val="0"/>
          <w:numId w:val="12"/>
        </w:numPr>
        <w:spacing w:line="360" w:lineRule="auto"/>
        <w:jc w:val="both"/>
        <w:rPr>
          <w:rFonts w:ascii="Times New Roman" w:hAnsi="Times New Roman"/>
        </w:rPr>
      </w:pPr>
      <w:r w:rsidRPr="00EA27B9">
        <w:rPr>
          <w:rFonts w:ascii="Times New Roman" w:hAnsi="Times New Roman"/>
        </w:rPr>
        <w:t xml:space="preserve">Because of her </w:t>
      </w:r>
      <w:r w:rsidR="00AD14F8">
        <w:rPr>
          <w:rFonts w:ascii="Times New Roman" w:hAnsi="Times New Roman"/>
        </w:rPr>
        <w:t>psychological</w:t>
      </w:r>
      <w:r w:rsidRPr="00EA27B9">
        <w:rPr>
          <w:rFonts w:ascii="Times New Roman" w:hAnsi="Times New Roman"/>
        </w:rPr>
        <w:t xml:space="preserve"> assessment of PTSD, anxiety</w:t>
      </w:r>
      <w:r w:rsidR="00AD14F8">
        <w:rPr>
          <w:rFonts w:ascii="Times New Roman" w:hAnsi="Times New Roman"/>
        </w:rPr>
        <w:t>,</w:t>
      </w:r>
      <w:r w:rsidRPr="00EA27B9">
        <w:rPr>
          <w:rFonts w:ascii="Times New Roman" w:hAnsi="Times New Roman"/>
        </w:rPr>
        <w:t xml:space="preserve"> and </w:t>
      </w:r>
      <w:r w:rsidR="00AD14F8">
        <w:rPr>
          <w:rFonts w:ascii="Times New Roman" w:hAnsi="Times New Roman"/>
        </w:rPr>
        <w:t>Major Depressive Di</w:t>
      </w:r>
      <w:r w:rsidR="00BE1040">
        <w:rPr>
          <w:rFonts w:ascii="Times New Roman" w:hAnsi="Times New Roman"/>
        </w:rPr>
        <w:t xml:space="preserve">sorder, </w:t>
      </w:r>
      <w:r w:rsidR="008D51CF">
        <w:rPr>
          <w:rFonts w:ascii="Times New Roman" w:hAnsi="Times New Roman"/>
        </w:rPr>
        <w:t>M. ----</w:t>
      </w:r>
      <w:r w:rsidRPr="00EA27B9">
        <w:rPr>
          <w:rFonts w:ascii="Times New Roman" w:hAnsi="Times New Roman"/>
        </w:rPr>
        <w:t xml:space="preserve"> qualifies as a person with a non-severe disability, that is, one who will face difficulty is performing certain activities, specifically those </w:t>
      </w:r>
      <w:r w:rsidR="00AD14F8">
        <w:rPr>
          <w:rFonts w:ascii="Times New Roman" w:hAnsi="Times New Roman"/>
        </w:rPr>
        <w:t>of</w:t>
      </w:r>
      <w:r w:rsidRPr="00EA27B9">
        <w:rPr>
          <w:rFonts w:ascii="Times New Roman" w:hAnsi="Times New Roman"/>
        </w:rPr>
        <w:t xml:space="preserve"> the work place</w:t>
      </w:r>
      <w:r>
        <w:rPr>
          <w:rFonts w:ascii="Times New Roman" w:hAnsi="Times New Roman"/>
        </w:rPr>
        <w:t>.</w:t>
      </w:r>
    </w:p>
    <w:p w:rsidR="00EA27B9" w:rsidRDefault="00EA27B9" w:rsidP="00D06BA7">
      <w:pPr>
        <w:pStyle w:val="ListParagraph"/>
        <w:numPr>
          <w:ilvl w:val="0"/>
          <w:numId w:val="12"/>
        </w:numPr>
        <w:spacing w:line="360" w:lineRule="auto"/>
        <w:jc w:val="both"/>
        <w:rPr>
          <w:rFonts w:ascii="Times New Roman" w:hAnsi="Times New Roman"/>
        </w:rPr>
      </w:pPr>
      <w:r>
        <w:rPr>
          <w:rFonts w:ascii="Times New Roman" w:hAnsi="Times New Roman"/>
        </w:rPr>
        <w:t>Bas</w:t>
      </w:r>
      <w:r w:rsidR="00BE1040">
        <w:rPr>
          <w:rFonts w:ascii="Times New Roman" w:hAnsi="Times New Roman"/>
        </w:rPr>
        <w:t xml:space="preserve">ed on the findings of Dr. XX, it is my opinion that </w:t>
      </w:r>
      <w:r w:rsidR="008D51CF">
        <w:rPr>
          <w:rFonts w:ascii="Times New Roman" w:hAnsi="Times New Roman"/>
        </w:rPr>
        <w:t>M. ----</w:t>
      </w:r>
      <w:r>
        <w:rPr>
          <w:rFonts w:ascii="Times New Roman" w:hAnsi="Times New Roman"/>
        </w:rPr>
        <w:t xml:space="preserve"> will face delayed entry into the job market of about one year. This will leave her with no earnings in 2023 while she attempts to finish her degree and copes with job entry.</w:t>
      </w:r>
      <w:r w:rsidR="00E83943">
        <w:rPr>
          <w:rFonts w:ascii="Times New Roman" w:hAnsi="Times New Roman"/>
        </w:rPr>
        <w:t xml:space="preserve">  I assume that but for her injuries she would have earned a </w:t>
      </w:r>
      <w:proofErr w:type="spellStart"/>
      <w:r w:rsidR="00E83943">
        <w:rPr>
          <w:rFonts w:ascii="Times New Roman" w:hAnsi="Times New Roman"/>
        </w:rPr>
        <w:t>bachelors</w:t>
      </w:r>
      <w:proofErr w:type="spellEnd"/>
      <w:r w:rsidR="00E83943">
        <w:rPr>
          <w:rFonts w:ascii="Times New Roman" w:hAnsi="Times New Roman"/>
        </w:rPr>
        <w:t xml:space="preserve"> degree and entered the workforce in 2023.</w:t>
      </w:r>
    </w:p>
    <w:p w:rsidR="00EA27B9" w:rsidRDefault="00EA27B9" w:rsidP="00D06BA7">
      <w:pPr>
        <w:pStyle w:val="ListParagraph"/>
        <w:numPr>
          <w:ilvl w:val="0"/>
          <w:numId w:val="12"/>
        </w:numPr>
        <w:spacing w:line="360" w:lineRule="auto"/>
        <w:jc w:val="both"/>
        <w:rPr>
          <w:rFonts w:ascii="Times New Roman" w:hAnsi="Times New Roman"/>
        </w:rPr>
      </w:pPr>
      <w:r>
        <w:rPr>
          <w:rFonts w:ascii="Times New Roman" w:hAnsi="Times New Roman"/>
        </w:rPr>
        <w:t>Census data relating to persons with non-severe disabilities show a 12 percent earnings gap</w:t>
      </w:r>
      <w:r w:rsidR="00AD14F8">
        <w:rPr>
          <w:rFonts w:ascii="Times New Roman" w:hAnsi="Times New Roman"/>
        </w:rPr>
        <w:t xml:space="preserve"> with respect to those with no disability</w:t>
      </w:r>
      <w:r>
        <w:rPr>
          <w:rFonts w:ascii="Times New Roman" w:hAnsi="Times New Roman"/>
        </w:rPr>
        <w:t>.</w:t>
      </w:r>
    </w:p>
    <w:p w:rsidR="00800A58" w:rsidRDefault="00EA27B9" w:rsidP="00800A58">
      <w:pPr>
        <w:pStyle w:val="ListParagraph"/>
        <w:numPr>
          <w:ilvl w:val="0"/>
          <w:numId w:val="12"/>
        </w:numPr>
        <w:spacing w:line="360" w:lineRule="auto"/>
        <w:jc w:val="both"/>
        <w:rPr>
          <w:rFonts w:ascii="Times New Roman" w:hAnsi="Times New Roman"/>
        </w:rPr>
      </w:pPr>
      <w:r>
        <w:rPr>
          <w:rFonts w:ascii="Times New Roman" w:hAnsi="Times New Roman"/>
        </w:rPr>
        <w:lastRenderedPageBreak/>
        <w:t>I assume that t</w:t>
      </w:r>
      <w:r w:rsidR="00BE1040">
        <w:rPr>
          <w:rFonts w:ascii="Times New Roman" w:hAnsi="Times New Roman"/>
        </w:rPr>
        <w:t xml:space="preserve">hese conditions that define </w:t>
      </w:r>
      <w:r w:rsidR="008D51CF">
        <w:rPr>
          <w:rFonts w:ascii="Times New Roman" w:hAnsi="Times New Roman"/>
        </w:rPr>
        <w:t>M. ----</w:t>
      </w:r>
      <w:r>
        <w:rPr>
          <w:rFonts w:ascii="Times New Roman" w:hAnsi="Times New Roman"/>
        </w:rPr>
        <w:t xml:space="preserve"> as a pers</w:t>
      </w:r>
      <w:r w:rsidR="00AD14F8">
        <w:rPr>
          <w:rFonts w:ascii="Times New Roman" w:hAnsi="Times New Roman"/>
        </w:rPr>
        <w:t>on with a non-severe disability will persist over her work life, assumed to extend through age 66.</w:t>
      </w:r>
    </w:p>
    <w:p w:rsidR="00AD14F8" w:rsidRDefault="00AD14F8" w:rsidP="00F540B6">
      <w:pPr>
        <w:pStyle w:val="ListParagraph"/>
        <w:numPr>
          <w:ilvl w:val="0"/>
          <w:numId w:val="12"/>
        </w:numPr>
        <w:spacing w:line="360" w:lineRule="auto"/>
        <w:jc w:val="both"/>
        <w:rPr>
          <w:rFonts w:ascii="Times New Roman" w:hAnsi="Times New Roman"/>
        </w:rPr>
      </w:pPr>
      <w:r w:rsidRPr="00BE1040">
        <w:rPr>
          <w:rFonts w:ascii="Times New Roman" w:hAnsi="Times New Roman"/>
        </w:rPr>
        <w:t>Because of the earnings gap that she will experience as a person wi</w:t>
      </w:r>
      <w:r w:rsidR="00BE1040" w:rsidRPr="00BE1040">
        <w:rPr>
          <w:rFonts w:ascii="Times New Roman" w:hAnsi="Times New Roman"/>
        </w:rPr>
        <w:t xml:space="preserve">th non-severe disabilities, </w:t>
      </w:r>
      <w:r w:rsidR="008D51CF" w:rsidRPr="00BE1040">
        <w:rPr>
          <w:rFonts w:ascii="Times New Roman" w:hAnsi="Times New Roman"/>
        </w:rPr>
        <w:t>M. ----</w:t>
      </w:r>
      <w:r w:rsidRPr="00BE1040">
        <w:rPr>
          <w:rFonts w:ascii="Times New Roman" w:hAnsi="Times New Roman"/>
        </w:rPr>
        <w:t xml:space="preserve"> will also suffer a loss of benefits including lower contributions to retirement accounts and the absence of insurance during more extended periods between jobs.  I assume a 10 percent benefits cost.</w:t>
      </w:r>
    </w:p>
    <w:p w:rsidR="0077101F" w:rsidRPr="0077101F" w:rsidRDefault="0077101F" w:rsidP="0077101F">
      <w:pPr>
        <w:spacing w:line="360" w:lineRule="auto"/>
        <w:ind w:left="720"/>
        <w:jc w:val="both"/>
        <w:rPr>
          <w:rFonts w:ascii="Times New Roman" w:hAnsi="Times New Roman"/>
          <w:b/>
        </w:rPr>
      </w:pPr>
    </w:p>
    <w:p w:rsidR="0018776E" w:rsidRDefault="009743AD" w:rsidP="0018776E">
      <w:pPr>
        <w:spacing w:line="360" w:lineRule="auto"/>
        <w:ind w:left="720"/>
        <w:jc w:val="both"/>
        <w:rPr>
          <w:rFonts w:ascii="Times New Roman" w:hAnsi="Times New Roman"/>
          <w:b/>
        </w:rPr>
      </w:pPr>
      <w:r>
        <w:rPr>
          <w:rFonts w:ascii="Times New Roman" w:hAnsi="Times New Roman"/>
          <w:b/>
        </w:rPr>
        <w:t xml:space="preserve">Future </w:t>
      </w:r>
      <w:r w:rsidR="0018776E" w:rsidRPr="0018776E">
        <w:rPr>
          <w:rFonts w:ascii="Times New Roman" w:hAnsi="Times New Roman"/>
          <w:b/>
        </w:rPr>
        <w:t>Losses</w:t>
      </w:r>
      <w:r w:rsidR="00BE1040">
        <w:rPr>
          <w:rFonts w:ascii="Times New Roman" w:hAnsi="Times New Roman"/>
          <w:b/>
        </w:rPr>
        <w:t xml:space="preserve"> of Earnings and Benefits </w:t>
      </w:r>
    </w:p>
    <w:p w:rsidR="00AD14F8" w:rsidRDefault="00AD14F8" w:rsidP="00546FC1">
      <w:pPr>
        <w:spacing w:line="360" w:lineRule="auto"/>
        <w:ind w:left="720"/>
        <w:jc w:val="both"/>
        <w:rPr>
          <w:rFonts w:ascii="Times New Roman" w:hAnsi="Times New Roman"/>
        </w:rPr>
      </w:pPr>
      <w:r>
        <w:rPr>
          <w:rFonts w:ascii="Times New Roman" w:hAnsi="Times New Roman"/>
        </w:rPr>
        <w:t xml:space="preserve">In order to calculate future </w:t>
      </w:r>
      <w:r w:rsidR="00881125">
        <w:rPr>
          <w:rFonts w:ascii="Times New Roman" w:hAnsi="Times New Roman"/>
        </w:rPr>
        <w:t xml:space="preserve">earnings </w:t>
      </w:r>
      <w:r>
        <w:rPr>
          <w:rFonts w:ascii="Times New Roman" w:hAnsi="Times New Roman"/>
        </w:rPr>
        <w:t xml:space="preserve">losses, I have constructed a life-time expect earnings trajectory for </w:t>
      </w:r>
      <w:r w:rsidR="008D51CF">
        <w:rPr>
          <w:rFonts w:ascii="Times New Roman" w:hAnsi="Times New Roman"/>
        </w:rPr>
        <w:t>M. ----</w:t>
      </w:r>
      <w:r>
        <w:rPr>
          <w:rFonts w:ascii="Times New Roman" w:hAnsi="Times New Roman"/>
        </w:rPr>
        <w:t xml:space="preserve"> </w:t>
      </w:r>
      <w:r w:rsidR="00E83943">
        <w:rPr>
          <w:rFonts w:ascii="Times New Roman" w:hAnsi="Times New Roman"/>
        </w:rPr>
        <w:t xml:space="preserve">which is </w:t>
      </w:r>
      <w:r>
        <w:rPr>
          <w:rFonts w:ascii="Times New Roman" w:hAnsi="Times New Roman"/>
        </w:rPr>
        <w:t xml:space="preserve">shown at the end of this report.  </w:t>
      </w:r>
      <w:r w:rsidR="00E83943">
        <w:rPr>
          <w:rFonts w:ascii="Times New Roman" w:hAnsi="Times New Roman"/>
        </w:rPr>
        <w:t>The “</w:t>
      </w:r>
      <w:r>
        <w:rPr>
          <w:rFonts w:ascii="Times New Roman" w:hAnsi="Times New Roman"/>
        </w:rPr>
        <w:t>Expected Income</w:t>
      </w:r>
      <w:r w:rsidR="00E83943">
        <w:rPr>
          <w:rFonts w:ascii="Times New Roman" w:hAnsi="Times New Roman"/>
        </w:rPr>
        <w:t>” column shows</w:t>
      </w:r>
      <w:r>
        <w:rPr>
          <w:rFonts w:ascii="Times New Roman" w:hAnsi="Times New Roman"/>
        </w:rPr>
        <w:t xml:space="preserve"> </w:t>
      </w:r>
      <w:r w:rsidR="00E83943">
        <w:rPr>
          <w:rFonts w:ascii="Times New Roman" w:hAnsi="Times New Roman"/>
        </w:rPr>
        <w:t>2017</w:t>
      </w:r>
      <w:r>
        <w:rPr>
          <w:rFonts w:ascii="Times New Roman" w:hAnsi="Times New Roman"/>
        </w:rPr>
        <w:t xml:space="preserve"> average annual earnings for a woman with at least a </w:t>
      </w:r>
      <w:proofErr w:type="spellStart"/>
      <w:r>
        <w:rPr>
          <w:rFonts w:ascii="Times New Roman" w:hAnsi="Times New Roman"/>
        </w:rPr>
        <w:t>bachelors</w:t>
      </w:r>
      <w:proofErr w:type="spellEnd"/>
      <w:r>
        <w:rPr>
          <w:rFonts w:ascii="Times New Roman" w:hAnsi="Times New Roman"/>
        </w:rPr>
        <w:t xml:space="preserve"> degree </w:t>
      </w:r>
      <w:r w:rsidR="00E83943">
        <w:rPr>
          <w:rFonts w:ascii="Times New Roman" w:hAnsi="Times New Roman"/>
        </w:rPr>
        <w:t>based on the Census data for 30 million women in this category who worked in that year.  Data is presented in 10-year intervals, e.g. 25-34, 35-44, etc., so there is no variation within those spans.  The “Reduced Earnings” column applies the 12 percent reduction expected for individuals with Non-Severe Disabilities, and “Loss” shows the difference.</w:t>
      </w:r>
    </w:p>
    <w:p w:rsidR="00AD14F8" w:rsidRDefault="00AD14F8" w:rsidP="00546FC1">
      <w:pPr>
        <w:spacing w:line="360" w:lineRule="auto"/>
        <w:ind w:left="720"/>
        <w:jc w:val="both"/>
        <w:rPr>
          <w:rFonts w:ascii="Times New Roman" w:hAnsi="Times New Roman"/>
        </w:rPr>
      </w:pPr>
    </w:p>
    <w:p w:rsidR="00546FC1" w:rsidRDefault="00881125" w:rsidP="00546FC1">
      <w:pPr>
        <w:spacing w:line="360" w:lineRule="auto"/>
        <w:ind w:left="720"/>
        <w:jc w:val="both"/>
        <w:rPr>
          <w:rFonts w:ascii="Times New Roman" w:hAnsi="Times New Roman"/>
        </w:rPr>
      </w:pPr>
      <w:r>
        <w:rPr>
          <w:rFonts w:ascii="Times New Roman" w:hAnsi="Times New Roman"/>
        </w:rPr>
        <w:t xml:space="preserve">Losses are reduced to present value as explained above.  </w:t>
      </w:r>
      <w:r w:rsidR="009743AD" w:rsidRPr="009743AD">
        <w:rPr>
          <w:rFonts w:ascii="Times New Roman" w:hAnsi="Times New Roman"/>
        </w:rPr>
        <w:t>The net present value of</w:t>
      </w:r>
      <w:r w:rsidR="009743AD">
        <w:rPr>
          <w:rFonts w:ascii="Times New Roman" w:hAnsi="Times New Roman"/>
        </w:rPr>
        <w:t xml:space="preserve"> </w:t>
      </w:r>
      <w:r w:rsidR="008D51CF">
        <w:rPr>
          <w:rFonts w:ascii="Times New Roman" w:hAnsi="Times New Roman"/>
        </w:rPr>
        <w:t>M. ----</w:t>
      </w:r>
      <w:r w:rsidR="009743AD">
        <w:rPr>
          <w:rFonts w:ascii="Times New Roman" w:hAnsi="Times New Roman"/>
        </w:rPr>
        <w:t>’s future los</w:t>
      </w:r>
      <w:r w:rsidR="00FB072A">
        <w:rPr>
          <w:rFonts w:ascii="Times New Roman" w:hAnsi="Times New Roman"/>
        </w:rPr>
        <w:t xml:space="preserve">t </w:t>
      </w:r>
      <w:r>
        <w:rPr>
          <w:rFonts w:ascii="Times New Roman" w:hAnsi="Times New Roman"/>
        </w:rPr>
        <w:t xml:space="preserve">earnings stemming from her injuries amounts to $294,705.  Adding 10 percent for </w:t>
      </w:r>
      <w:r w:rsidR="00FB072A">
        <w:rPr>
          <w:rFonts w:ascii="Times New Roman" w:hAnsi="Times New Roman"/>
        </w:rPr>
        <w:t>benefits</w:t>
      </w:r>
      <w:r>
        <w:rPr>
          <w:rFonts w:ascii="Times New Roman" w:hAnsi="Times New Roman"/>
        </w:rPr>
        <w:t xml:space="preserve"> losses, </w:t>
      </w:r>
      <w:r w:rsidR="008D51CF">
        <w:rPr>
          <w:rFonts w:ascii="Times New Roman" w:hAnsi="Times New Roman"/>
        </w:rPr>
        <w:t>M. ----</w:t>
      </w:r>
      <w:r>
        <w:rPr>
          <w:rFonts w:ascii="Times New Roman" w:hAnsi="Times New Roman"/>
        </w:rPr>
        <w:t>’s total loss from her injuries amounts to $324,176.</w:t>
      </w:r>
      <w:r w:rsidR="00FB072A">
        <w:rPr>
          <w:rFonts w:ascii="Times New Roman" w:hAnsi="Times New Roman"/>
        </w:rPr>
        <w:t xml:space="preserve"> Future loss amounts have been reduced to present value by the use of a net</w:t>
      </w:r>
      <w:r>
        <w:rPr>
          <w:rFonts w:ascii="Times New Roman" w:hAnsi="Times New Roman"/>
        </w:rPr>
        <w:t xml:space="preserve"> discount rate of 0.9 percent.</w:t>
      </w:r>
      <w:r w:rsidR="00046ADF">
        <w:rPr>
          <w:rFonts w:ascii="Times New Roman" w:hAnsi="Times New Roman"/>
        </w:rPr>
        <w:t xml:space="preserve"> </w:t>
      </w:r>
    </w:p>
    <w:p w:rsidR="00BE1040" w:rsidRDefault="00BE1040" w:rsidP="00546FC1">
      <w:pPr>
        <w:spacing w:line="360" w:lineRule="auto"/>
        <w:ind w:left="720"/>
        <w:jc w:val="both"/>
        <w:rPr>
          <w:rFonts w:ascii="Times New Roman" w:hAnsi="Times New Roman"/>
        </w:rPr>
      </w:pPr>
    </w:p>
    <w:p w:rsidR="00BE1040" w:rsidRPr="00BE1040" w:rsidRDefault="00BE1040" w:rsidP="00546FC1">
      <w:pPr>
        <w:spacing w:line="360" w:lineRule="auto"/>
        <w:ind w:left="720"/>
        <w:jc w:val="both"/>
        <w:rPr>
          <w:rFonts w:ascii="Times New Roman" w:hAnsi="Times New Roman"/>
          <w:b/>
        </w:rPr>
      </w:pPr>
      <w:r w:rsidRPr="00BE1040">
        <w:rPr>
          <w:rFonts w:ascii="Times New Roman" w:hAnsi="Times New Roman"/>
          <w:b/>
        </w:rPr>
        <w:t>Future Losses for Treatment</w:t>
      </w:r>
    </w:p>
    <w:p w:rsidR="00BE1040" w:rsidRPr="00BE1040" w:rsidRDefault="00BE1040" w:rsidP="00BE1040">
      <w:pPr>
        <w:spacing w:line="360" w:lineRule="auto"/>
        <w:ind w:left="720"/>
        <w:jc w:val="both"/>
        <w:rPr>
          <w:rFonts w:ascii="Times New Roman" w:hAnsi="Times New Roman"/>
        </w:rPr>
      </w:pPr>
      <w:r w:rsidRPr="00BE1040">
        <w:rPr>
          <w:rFonts w:ascii="Times New Roman" w:hAnsi="Times New Roman"/>
        </w:rPr>
        <w:t xml:space="preserve">M. ---- will also require treatment for PTSD and Major Depressive Disorder. </w:t>
      </w:r>
      <w:r w:rsidRPr="00BE1040">
        <w:rPr>
          <w:rFonts w:ascii="Times New Roman" w:hAnsi="Times New Roman"/>
        </w:rPr>
        <w:t xml:space="preserve">Dr. XX opines that M. ---- will require three types of treatment into the future, evidence-based PTSD treatment, critical-period psychotherapy, and psychiatrist consultations for medication treatment.  In his opinion, future costs for these treatments amount to $20,000 to $40,000 for the PTSD treatment, $100,000 to $200,000 for critical period psychotherapy and $30,000 to $60,000 for psychiatrist consultations.  This amounts to a total future cost for treatment of $150,000 to $300,000.  In addition, Dr. XX notes future medications costs of $550 per month for 12 years, or $79,200.  Travel costs to treatment will range from $414 to $759 per year over the next ten years at a minimum.  </w:t>
      </w:r>
    </w:p>
    <w:p w:rsidR="00BE1040" w:rsidRDefault="00BE1040" w:rsidP="00546FC1">
      <w:pPr>
        <w:spacing w:line="360" w:lineRule="auto"/>
        <w:ind w:left="720"/>
        <w:jc w:val="both"/>
        <w:rPr>
          <w:rFonts w:ascii="Times New Roman" w:hAnsi="Times New Roman"/>
        </w:rPr>
      </w:pPr>
      <w:r>
        <w:rPr>
          <w:rFonts w:ascii="Times New Roman" w:hAnsi="Times New Roman"/>
        </w:rPr>
        <w:t xml:space="preserve"> </w:t>
      </w:r>
    </w:p>
    <w:p w:rsidR="00BE1040" w:rsidRDefault="00BE1040" w:rsidP="00546FC1">
      <w:pPr>
        <w:spacing w:line="360" w:lineRule="auto"/>
        <w:ind w:left="720"/>
        <w:jc w:val="both"/>
        <w:rPr>
          <w:rFonts w:ascii="Times New Roman" w:hAnsi="Times New Roman"/>
        </w:rPr>
      </w:pPr>
    </w:p>
    <w:p w:rsidR="0018776E" w:rsidRPr="0018776E" w:rsidRDefault="0018776E" w:rsidP="0018776E">
      <w:pPr>
        <w:spacing w:line="360" w:lineRule="auto"/>
        <w:jc w:val="both"/>
        <w:rPr>
          <w:rFonts w:ascii="Times New Roman" w:hAnsi="Times New Roman"/>
        </w:rPr>
      </w:pPr>
    </w:p>
    <w:p w:rsidR="0011407D" w:rsidRDefault="0011407D" w:rsidP="00ED1E6C">
      <w:pPr>
        <w:spacing w:line="360" w:lineRule="auto"/>
        <w:jc w:val="both"/>
        <w:rPr>
          <w:rFonts w:ascii="Times New Roman" w:hAnsi="Times New Roman"/>
        </w:rPr>
      </w:pPr>
    </w:p>
    <w:p w:rsidR="00881125" w:rsidRPr="008C5B24" w:rsidRDefault="00881125" w:rsidP="00ED1E6C">
      <w:pPr>
        <w:spacing w:line="360" w:lineRule="auto"/>
        <w:jc w:val="both"/>
        <w:rPr>
          <w:rFonts w:ascii="Times New Roman" w:hAnsi="Times New Roman"/>
        </w:rPr>
        <w:sectPr w:rsidR="00881125" w:rsidRPr="008C5B24">
          <w:footerReference w:type="default" r:id="rId9"/>
          <w:type w:val="continuous"/>
          <w:pgSz w:w="12240" w:h="15840"/>
          <w:pgMar w:top="1080" w:right="1080" w:bottom="720" w:left="1350" w:header="1080" w:footer="720" w:gutter="0"/>
          <w:cols w:space="720"/>
          <w:noEndnote/>
        </w:sectPr>
      </w:pPr>
    </w:p>
    <w:p w:rsidR="00181AC1" w:rsidRPr="008C5B24" w:rsidRDefault="000F7C09">
      <w:pPr>
        <w:pStyle w:val="Level1"/>
        <w:numPr>
          <w:ilvl w:val="0"/>
          <w:numId w:val="0"/>
        </w:numPr>
        <w:tabs>
          <w:tab w:val="left" w:pos="-1440"/>
        </w:tabs>
        <w:spacing w:line="360" w:lineRule="auto"/>
        <w:ind w:left="720" w:hanging="720"/>
        <w:jc w:val="both"/>
        <w:outlineLvl w:val="9"/>
        <w:rPr>
          <w:rFonts w:ascii="Times New Roman" w:hAnsi="Times New Roman"/>
        </w:rPr>
      </w:pPr>
      <w:r>
        <w:rPr>
          <w:rFonts w:ascii="Times New Roman" w:hAnsi="Times New Roman"/>
          <w:b/>
          <w:bCs/>
        </w:rPr>
        <w:t>I</w:t>
      </w:r>
      <w:r w:rsidR="00181AC1" w:rsidRPr="008C5B24">
        <w:rPr>
          <w:rFonts w:ascii="Times New Roman" w:hAnsi="Times New Roman"/>
          <w:b/>
          <w:bCs/>
        </w:rPr>
        <w:t>V</w:t>
      </w:r>
      <w:r w:rsidR="0030334D">
        <w:rPr>
          <w:rFonts w:ascii="Times New Roman" w:hAnsi="Times New Roman"/>
          <w:b/>
          <w:bCs/>
        </w:rPr>
        <w:t>.</w:t>
      </w:r>
      <w:r w:rsidR="00181AC1" w:rsidRPr="008C5B24">
        <w:rPr>
          <w:rFonts w:ascii="Times New Roman" w:hAnsi="Times New Roman"/>
          <w:b/>
          <w:bCs/>
        </w:rPr>
        <w:tab/>
      </w:r>
      <w:r w:rsidR="00181AC1" w:rsidRPr="008C5B24">
        <w:rPr>
          <w:rFonts w:ascii="Times New Roman" w:hAnsi="Times New Roman"/>
          <w:b/>
          <w:bCs/>
          <w:u w:val="single"/>
        </w:rPr>
        <w:t>Summary</w:t>
      </w:r>
    </w:p>
    <w:p w:rsidR="00546FC1" w:rsidRDefault="00181AC1" w:rsidP="00FB072A">
      <w:pPr>
        <w:spacing w:line="360" w:lineRule="auto"/>
        <w:ind w:left="720"/>
        <w:jc w:val="both"/>
        <w:rPr>
          <w:rFonts w:ascii="Times New Roman" w:hAnsi="Times New Roman"/>
        </w:rPr>
      </w:pPr>
      <w:r w:rsidRPr="008C5B24">
        <w:rPr>
          <w:rFonts w:ascii="Times New Roman" w:hAnsi="Times New Roman"/>
        </w:rPr>
        <w:t xml:space="preserve">Based on </w:t>
      </w:r>
      <w:r w:rsidR="00564DC7">
        <w:rPr>
          <w:rFonts w:ascii="Times New Roman" w:hAnsi="Times New Roman"/>
        </w:rPr>
        <w:t xml:space="preserve">this </w:t>
      </w:r>
      <w:r w:rsidRPr="008C5B24">
        <w:rPr>
          <w:rFonts w:ascii="Times New Roman" w:hAnsi="Times New Roman"/>
        </w:rPr>
        <w:t>analysis</w:t>
      </w:r>
      <w:r w:rsidR="00563E1B">
        <w:rPr>
          <w:rFonts w:ascii="Times New Roman" w:hAnsi="Times New Roman"/>
        </w:rPr>
        <w:t xml:space="preserve"> and reasonable economic probabilities</w:t>
      </w:r>
      <w:r w:rsidRPr="008C5B24">
        <w:rPr>
          <w:rFonts w:ascii="Times New Roman" w:hAnsi="Times New Roman"/>
        </w:rPr>
        <w:t>, an aggregate fund of</w:t>
      </w:r>
      <w:r w:rsidR="00FB072A">
        <w:rPr>
          <w:rFonts w:ascii="Times New Roman" w:hAnsi="Times New Roman"/>
        </w:rPr>
        <w:t xml:space="preserve"> </w:t>
      </w:r>
      <w:r w:rsidR="00881125" w:rsidRPr="00881125">
        <w:rPr>
          <w:rFonts w:ascii="Times New Roman" w:hAnsi="Times New Roman"/>
          <w:b/>
        </w:rPr>
        <w:t>$</w:t>
      </w:r>
      <w:r w:rsidR="00BE1040">
        <w:rPr>
          <w:rFonts w:ascii="Times New Roman" w:hAnsi="Times New Roman"/>
          <w:b/>
        </w:rPr>
        <w:t>$$$</w:t>
      </w:r>
      <w:proofErr w:type="gramStart"/>
      <w:r w:rsidR="00BE1040">
        <w:rPr>
          <w:rFonts w:ascii="Times New Roman" w:hAnsi="Times New Roman"/>
          <w:b/>
        </w:rPr>
        <w:t>,$</w:t>
      </w:r>
      <w:proofErr w:type="gramEnd"/>
      <w:r w:rsidR="00BE1040">
        <w:rPr>
          <w:rFonts w:ascii="Times New Roman" w:hAnsi="Times New Roman"/>
          <w:b/>
        </w:rPr>
        <w:t xml:space="preserve">$$ </w:t>
      </w:r>
      <w:r w:rsidRPr="008C5B24">
        <w:rPr>
          <w:rFonts w:ascii="Times New Roman" w:hAnsi="Times New Roman"/>
        </w:rPr>
        <w:t xml:space="preserve">will serve as a substitute for probable </w:t>
      </w:r>
      <w:r w:rsidR="001A2126">
        <w:rPr>
          <w:rFonts w:ascii="Times New Roman" w:hAnsi="Times New Roman"/>
        </w:rPr>
        <w:t>economic damages over</w:t>
      </w:r>
      <w:r w:rsidR="00C861A6">
        <w:rPr>
          <w:rFonts w:ascii="Times New Roman" w:hAnsi="Times New Roman"/>
        </w:rPr>
        <w:t xml:space="preserve"> the remainder of </w:t>
      </w:r>
      <w:r w:rsidR="008D51CF">
        <w:rPr>
          <w:rFonts w:ascii="Times New Roman" w:hAnsi="Times New Roman"/>
        </w:rPr>
        <w:t>M. ----</w:t>
      </w:r>
      <w:r w:rsidR="00FB072A">
        <w:rPr>
          <w:rFonts w:ascii="Times New Roman" w:hAnsi="Times New Roman"/>
        </w:rPr>
        <w:t>’s</w:t>
      </w:r>
      <w:r w:rsidR="009743AD">
        <w:rPr>
          <w:rFonts w:ascii="Times New Roman" w:hAnsi="Times New Roman"/>
        </w:rPr>
        <w:t xml:space="preserve"> expected</w:t>
      </w:r>
      <w:r w:rsidR="00C861A6">
        <w:rPr>
          <w:rFonts w:ascii="Times New Roman" w:hAnsi="Times New Roman"/>
        </w:rPr>
        <w:t xml:space="preserve"> </w:t>
      </w:r>
      <w:r w:rsidR="00881125">
        <w:rPr>
          <w:rFonts w:ascii="Times New Roman" w:hAnsi="Times New Roman"/>
        </w:rPr>
        <w:t>work-life</w:t>
      </w:r>
      <w:r w:rsidR="00FB072A">
        <w:rPr>
          <w:rFonts w:ascii="Times New Roman" w:hAnsi="Times New Roman"/>
        </w:rPr>
        <w:t xml:space="preserve"> w</w:t>
      </w:r>
      <w:r w:rsidR="001A2126">
        <w:rPr>
          <w:rFonts w:ascii="Times New Roman" w:hAnsi="Times New Roman"/>
        </w:rPr>
        <w:t xml:space="preserve">hen </w:t>
      </w:r>
      <w:r w:rsidR="001A2126" w:rsidRPr="008C5B24">
        <w:rPr>
          <w:rFonts w:ascii="Times New Roman" w:hAnsi="Times New Roman"/>
        </w:rPr>
        <w:t>drawn upon each year</w:t>
      </w:r>
      <w:r w:rsidR="00B32B57">
        <w:rPr>
          <w:rFonts w:ascii="Times New Roman" w:hAnsi="Times New Roman"/>
        </w:rPr>
        <w:t>.</w:t>
      </w:r>
      <w:r w:rsidR="009743AD">
        <w:rPr>
          <w:rFonts w:ascii="Times New Roman" w:hAnsi="Times New Roman"/>
        </w:rPr>
        <w:t xml:space="preserve">  </w:t>
      </w:r>
    </w:p>
    <w:p w:rsidR="00FF3728" w:rsidRDefault="00753337">
      <w:pPr>
        <w:spacing w:line="360" w:lineRule="auto"/>
        <w:ind w:left="720"/>
        <w:jc w:val="both"/>
        <w:rPr>
          <w:rFonts w:ascii="Times New Roman" w:hAnsi="Times New Roman"/>
        </w:rPr>
      </w:pPr>
      <w:r>
        <w:rPr>
          <w:rFonts w:ascii="Times New Roman" w:hAnsi="Times New Roman"/>
        </w:rPr>
        <w:tab/>
      </w:r>
    </w:p>
    <w:p w:rsidR="0077101F" w:rsidRDefault="00181AC1">
      <w:pPr>
        <w:spacing w:line="360" w:lineRule="auto"/>
        <w:ind w:left="720"/>
        <w:jc w:val="both"/>
        <w:rPr>
          <w:rFonts w:ascii="Times New Roman" w:hAnsi="Times New Roman"/>
        </w:rPr>
      </w:pPr>
      <w:r w:rsidRPr="008C5B24">
        <w:rPr>
          <w:rFonts w:ascii="Times New Roman" w:hAnsi="Times New Roman"/>
        </w:rPr>
        <w:t xml:space="preserve">In calculating the value of future economic losses, probable </w:t>
      </w:r>
      <w:r w:rsidR="002B0968" w:rsidRPr="008C5B24">
        <w:rPr>
          <w:rFonts w:ascii="Times New Roman" w:hAnsi="Times New Roman"/>
        </w:rPr>
        <w:t>growth in wages and price inflation has</w:t>
      </w:r>
      <w:r w:rsidRPr="008C5B24">
        <w:rPr>
          <w:rFonts w:ascii="Times New Roman" w:hAnsi="Times New Roman"/>
        </w:rPr>
        <w:t xml:space="preserve"> been incorporated so that the compensation in future years does not fall below the real economic loss suffered.  The probable interest returns on funds available today are also considered, in that </w:t>
      </w:r>
      <w:r w:rsidR="00564DC7">
        <w:rPr>
          <w:rFonts w:ascii="Times New Roman" w:hAnsi="Times New Roman"/>
        </w:rPr>
        <w:t xml:space="preserve">this </w:t>
      </w:r>
      <w:r w:rsidRPr="008C5B24">
        <w:rPr>
          <w:rFonts w:ascii="Times New Roman" w:hAnsi="Times New Roman"/>
        </w:rPr>
        <w:t>interest can be used to help finance future payments. Thus, the calculations represented here are designed so that at the end of the probable future loss period, the fund balance has been drawn d</w:t>
      </w:r>
      <w:r w:rsidR="00E62824">
        <w:rPr>
          <w:rFonts w:ascii="Times New Roman" w:hAnsi="Times New Roman"/>
        </w:rPr>
        <w:t>own to zero.</w:t>
      </w:r>
    </w:p>
    <w:p w:rsidR="0077101F" w:rsidRDefault="0077101F">
      <w:pPr>
        <w:widowControl/>
        <w:autoSpaceDE/>
        <w:autoSpaceDN/>
        <w:adjustRightInd/>
        <w:rPr>
          <w:rFonts w:ascii="Times New Roman" w:hAnsi="Times New Roman"/>
        </w:rPr>
      </w:pPr>
      <w:r>
        <w:rPr>
          <w:rFonts w:ascii="Times New Roman" w:hAnsi="Times New Roman"/>
        </w:rPr>
        <w:br w:type="page"/>
      </w:r>
    </w:p>
    <w:p w:rsidR="002035AB" w:rsidRDefault="002035AB" w:rsidP="002035AB">
      <w:pPr>
        <w:spacing w:after="150" w:line="396" w:lineRule="atLeast"/>
        <w:textAlignment w:val="baseline"/>
        <w:rPr>
          <w:rFonts w:ascii="&amp;quot" w:hAnsi="&amp;quot"/>
          <w:color w:val="112E51"/>
          <w:sz w:val="36"/>
          <w:szCs w:val="36"/>
        </w:rPr>
      </w:pPr>
      <w:r>
        <w:rPr>
          <w:rFonts w:ascii="&amp;quot" w:hAnsi="&amp;quot"/>
          <w:color w:val="112E51"/>
          <w:sz w:val="36"/>
          <w:szCs w:val="36"/>
        </w:rPr>
        <w:lastRenderedPageBreak/>
        <w:t>Table P-28. Educational Attainment—Workers 18 Years Old and Over by Mean Earnings, Age and Sex</w:t>
      </w:r>
    </w:p>
    <w:p w:rsidR="002035AB" w:rsidRDefault="002035AB" w:rsidP="002035AB">
      <w:pPr>
        <w:textAlignment w:val="baseline"/>
        <w:rPr>
          <w:rFonts w:ascii="&amp;quot" w:hAnsi="&amp;quot"/>
          <w:color w:val="000000"/>
        </w:rPr>
      </w:pPr>
      <w:r>
        <w:rPr>
          <w:noProof/>
        </w:rPr>
        <mc:AlternateContent>
          <mc:Choice Requires="wps">
            <w:drawing>
              <wp:inline distT="0" distB="0" distL="0" distR="0">
                <wp:extent cx="308610" cy="308610"/>
                <wp:effectExtent l="0" t="0" r="0" b="0"/>
                <wp:docPr id="3" name="Rectangle 3" descr="xls">
                  <a:hlinkClick xmlns:a="http://schemas.openxmlformats.org/drawingml/2006/main" r:id="rId10" tgtFrame="&quot;_blank&quot;" tooltip="&quot;Educational Attainment—Workers 18 Years Old and Over by Mean Earnings, Age and Se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8E954" id="Rectangle 3" o:spid="_x0000_s1026" alt="xls" href="https://www2.census.gov/programs-surveys/cps/tables/time-series/historical-income-people/p28.xls" target="&quot;_blank&quot;" title="&quot;Educational Attainment—Workers 18 Years Old and Over by Mean Earnings, Age and Sex&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" o:button="t" filled="f" stroked="f">
                <v:fill o:detectmouseclick="t"/>
                <o:lock v:ext="edit" aspectratio="t"/>
                <w10:anchorlock/>
              </v:rect>
            </w:pict>
          </mc:Fallback>
        </mc:AlternateContent>
      </w:r>
      <w:r>
        <w:rPr>
          <w:rFonts w:ascii="&amp;quot" w:hAnsi="&amp;quot"/>
          <w:color w:val="000000"/>
          <w:bdr w:val="none" w:sz="0" w:space="0" w:color="auto" w:frame="1"/>
        </w:rPr>
        <w:t xml:space="preserve">  </w:t>
      </w:r>
      <w:hyperlink r:id="rId11" w:tgtFrame="_blank" w:tooltip="Educational Attainment—Workers 18 Years Old and Over by Mean Earnings, Age and Sex" w:history="1">
        <w:r>
          <w:rPr>
            <w:rStyle w:val="Hyperlink"/>
            <w:rFonts w:ascii="&amp;quot" w:hAnsi="&amp;quot"/>
            <w:color w:val="008392"/>
            <w:sz w:val="21"/>
            <w:szCs w:val="21"/>
            <w:bdr w:val="none" w:sz="0" w:space="0" w:color="auto" w:frame="1"/>
          </w:rPr>
          <w:t xml:space="preserve">Educational Attainment—Workers 18 Years Old and Over by Mean Earnings, Age and Sex </w:t>
        </w:r>
      </w:hyperlink>
      <w:bookmarkStart w:id="0" w:name="Educational_Attainment—Workers_18_Years_"/>
      <w:bookmarkEnd w:id="0"/>
      <w:r>
        <w:rPr>
          <w:rFonts w:ascii="&amp;quot" w:hAnsi="&amp;quot"/>
          <w:color w:val="000000"/>
          <w:bdr w:val="none" w:sz="0" w:space="0" w:color="auto" w:frame="1"/>
        </w:rPr>
        <w:t xml:space="preserve">  </w:t>
      </w:r>
      <w:r>
        <w:rPr>
          <w:rFonts w:ascii="&amp;quot" w:hAnsi="&amp;quot"/>
          <w:color w:val="112E51"/>
          <w:sz w:val="21"/>
          <w:szCs w:val="21"/>
          <w:bdr w:val="none" w:sz="0" w:space="0" w:color="auto" w:frame="1"/>
        </w:rPr>
        <w:t xml:space="preserve">[&lt;1.0 MB] </w:t>
      </w:r>
    </w:p>
    <w:p w:rsidR="002035AB" w:rsidRDefault="002035AB" w:rsidP="002035AB">
      <w:pPr>
        <w:rPr>
          <w:rFonts w:ascii="Calibri" w:hAnsi="Calibri"/>
          <w:sz w:val="22"/>
          <w:szCs w:val="22"/>
        </w:rPr>
      </w:pPr>
    </w:p>
    <w:p w:rsidR="002035AB" w:rsidRDefault="002035AB" w:rsidP="002035AB"/>
    <w:p w:rsidR="002035AB" w:rsidRDefault="002035AB" w:rsidP="002035AB"/>
    <w:tbl>
      <w:tblPr>
        <w:tblW w:w="12100" w:type="dxa"/>
        <w:tblInd w:w="-1275" w:type="dxa"/>
        <w:tblCellMar>
          <w:left w:w="0" w:type="dxa"/>
          <w:right w:w="0" w:type="dxa"/>
        </w:tblCellMar>
        <w:tblLook w:val="04A0" w:firstRow="1" w:lastRow="0" w:firstColumn="1" w:lastColumn="0" w:noHBand="0" w:noVBand="1"/>
      </w:tblPr>
      <w:tblGrid>
        <w:gridCol w:w="4180"/>
        <w:gridCol w:w="1320"/>
        <w:gridCol w:w="1320"/>
        <w:gridCol w:w="1320"/>
        <w:gridCol w:w="1320"/>
        <w:gridCol w:w="1320"/>
        <w:gridCol w:w="1320"/>
      </w:tblGrid>
      <w:tr w:rsidR="002035AB" w:rsidTr="002035AB">
        <w:trPr>
          <w:trHeight w:val="218"/>
        </w:trPr>
        <w:tc>
          <w:tcPr>
            <w:tcW w:w="12100" w:type="dxa"/>
            <w:gridSpan w:val="7"/>
            <w:tcBorders>
              <w:top w:val="single" w:sz="8" w:space="0" w:color="AAC1D9"/>
              <w:left w:val="nil"/>
              <w:bottom w:val="nil"/>
              <w:right w:val="nil"/>
            </w:tcBorders>
            <w:shd w:val="clear" w:color="auto" w:fill="FFFFFF"/>
            <w:noWrap/>
            <w:tcMar>
              <w:top w:w="0" w:type="dxa"/>
              <w:left w:w="108" w:type="dxa"/>
              <w:bottom w:w="0" w:type="dxa"/>
              <w:right w:w="108" w:type="dxa"/>
            </w:tcMar>
            <w:vAlign w:val="bottom"/>
            <w:hideMark/>
          </w:tcPr>
          <w:p w:rsidR="002035AB" w:rsidRDefault="002035AB">
            <w:pPr>
              <w:rPr>
                <w:rFonts w:ascii="Arial" w:hAnsi="Arial" w:cs="Arial"/>
                <w:b/>
                <w:bCs/>
                <w:sz w:val="18"/>
                <w:szCs w:val="18"/>
              </w:rPr>
            </w:pPr>
            <w:r>
              <w:rPr>
                <w:rFonts w:ascii="Arial" w:hAnsi="Arial" w:cs="Arial"/>
                <w:b/>
                <w:bCs/>
                <w:sz w:val="18"/>
                <w:szCs w:val="18"/>
              </w:rPr>
              <w:t>Bachelor's Degree or More</w:t>
            </w:r>
          </w:p>
        </w:tc>
      </w:tr>
      <w:tr w:rsidR="002035AB" w:rsidTr="002035AB">
        <w:trPr>
          <w:trHeight w:val="218"/>
        </w:trPr>
        <w:tc>
          <w:tcPr>
            <w:tcW w:w="12100" w:type="dxa"/>
            <w:gridSpan w:val="7"/>
            <w:shd w:val="clear" w:color="auto" w:fill="FFFFFF"/>
            <w:noWrap/>
            <w:tcMar>
              <w:top w:w="0" w:type="dxa"/>
              <w:left w:w="108" w:type="dxa"/>
              <w:bottom w:w="0" w:type="dxa"/>
              <w:right w:w="108" w:type="dxa"/>
            </w:tcMar>
            <w:vAlign w:val="bottom"/>
            <w:hideMark/>
          </w:tcPr>
          <w:p w:rsidR="002035AB" w:rsidRDefault="002035AB">
            <w:pPr>
              <w:rPr>
                <w:rFonts w:ascii="Arial" w:hAnsi="Arial" w:cs="Arial"/>
                <w:b/>
                <w:bCs/>
                <w:sz w:val="18"/>
                <w:szCs w:val="18"/>
              </w:rPr>
            </w:pPr>
            <w:r>
              <w:rPr>
                <w:rFonts w:ascii="Arial" w:hAnsi="Arial" w:cs="Arial"/>
                <w:b/>
                <w:bCs/>
                <w:sz w:val="18"/>
                <w:szCs w:val="18"/>
              </w:rPr>
              <w:t>2017</w:t>
            </w:r>
          </w:p>
        </w:tc>
      </w:tr>
      <w:tr w:rsidR="002035AB" w:rsidTr="002035AB">
        <w:trPr>
          <w:trHeight w:val="480"/>
        </w:trPr>
        <w:tc>
          <w:tcPr>
            <w:tcW w:w="4180" w:type="dxa"/>
            <w:vMerge w:val="restart"/>
            <w:tcBorders>
              <w:top w:val="nil"/>
              <w:left w:val="nil"/>
              <w:bottom w:val="single" w:sz="8" w:space="0" w:color="AAC1D9"/>
              <w:right w:val="nil"/>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Educational attainment and year</w:t>
            </w:r>
          </w:p>
        </w:tc>
        <w:tc>
          <w:tcPr>
            <w:tcW w:w="3960" w:type="dxa"/>
            <w:gridSpan w:val="3"/>
            <w:tcBorders>
              <w:top w:val="nil"/>
              <w:left w:val="single" w:sz="8" w:space="0" w:color="AAC1D9"/>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Male</w:t>
            </w:r>
          </w:p>
        </w:tc>
        <w:tc>
          <w:tcPr>
            <w:tcW w:w="3960" w:type="dxa"/>
            <w:gridSpan w:val="3"/>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Female</w:t>
            </w:r>
          </w:p>
        </w:tc>
      </w:tr>
      <w:tr w:rsidR="002035AB" w:rsidTr="002035AB">
        <w:trPr>
          <w:trHeight w:val="960"/>
        </w:trPr>
        <w:tc>
          <w:tcPr>
            <w:tcW w:w="0" w:type="auto"/>
            <w:vMerge/>
            <w:tcBorders>
              <w:top w:val="nil"/>
              <w:left w:val="nil"/>
              <w:bottom w:val="single" w:sz="8" w:space="0" w:color="AAC1D9"/>
              <w:right w:val="nil"/>
            </w:tcBorders>
            <w:vAlign w:val="center"/>
            <w:hideMark/>
          </w:tcPr>
          <w:p w:rsidR="002035AB" w:rsidRDefault="002035AB">
            <w:pPr>
              <w:rPr>
                <w:rFonts w:ascii="Arial" w:eastAsiaTheme="minorHAnsi" w:hAnsi="Arial" w:cs="Arial"/>
                <w:b/>
                <w:bCs/>
                <w:color w:val="000000"/>
                <w:sz w:val="18"/>
                <w:szCs w:val="18"/>
              </w:rPr>
            </w:pPr>
          </w:p>
        </w:tc>
        <w:tc>
          <w:tcPr>
            <w:tcW w:w="1320" w:type="dxa"/>
            <w:vMerge w:val="restart"/>
            <w:tcBorders>
              <w:top w:val="nil"/>
              <w:left w:val="single" w:sz="8" w:space="0" w:color="AAC1D9"/>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Number</w:t>
            </w:r>
            <w:r>
              <w:rPr>
                <w:rFonts w:ascii="Arial" w:hAnsi="Arial" w:cs="Arial"/>
                <w:b/>
                <w:bCs/>
                <w:color w:val="000000"/>
                <w:sz w:val="18"/>
                <w:szCs w:val="18"/>
              </w:rPr>
              <w:br/>
              <w:t>with</w:t>
            </w:r>
            <w:r>
              <w:rPr>
                <w:rFonts w:ascii="Arial" w:hAnsi="Arial" w:cs="Arial"/>
                <w:b/>
                <w:bCs/>
                <w:color w:val="000000"/>
                <w:sz w:val="18"/>
                <w:szCs w:val="18"/>
              </w:rPr>
              <w:br/>
            </w:r>
            <w:proofErr w:type="gramStart"/>
            <w:r>
              <w:rPr>
                <w:rFonts w:ascii="Arial" w:hAnsi="Arial" w:cs="Arial"/>
                <w:b/>
                <w:bCs/>
                <w:color w:val="000000"/>
                <w:sz w:val="18"/>
                <w:szCs w:val="18"/>
              </w:rPr>
              <w:t>earnings</w:t>
            </w:r>
            <w:proofErr w:type="gramEnd"/>
            <w:r>
              <w:rPr>
                <w:rFonts w:ascii="Arial" w:hAnsi="Arial" w:cs="Arial"/>
                <w:b/>
                <w:bCs/>
                <w:color w:val="000000"/>
                <w:sz w:val="18"/>
                <w:szCs w:val="18"/>
              </w:rPr>
              <w:br/>
              <w:t>(</w:t>
            </w:r>
            <w:proofErr w:type="spellStart"/>
            <w:r>
              <w:rPr>
                <w:rFonts w:ascii="Arial" w:hAnsi="Arial" w:cs="Arial"/>
                <w:b/>
                <w:bCs/>
                <w:color w:val="000000"/>
                <w:sz w:val="18"/>
                <w:szCs w:val="18"/>
              </w:rPr>
              <w:t>thous</w:t>
            </w:r>
            <w:proofErr w:type="spellEnd"/>
            <w:r>
              <w:rPr>
                <w:rFonts w:ascii="Arial" w:hAnsi="Arial" w:cs="Arial"/>
                <w:b/>
                <w:bCs/>
                <w:color w:val="000000"/>
                <w:sz w:val="18"/>
                <w:szCs w:val="18"/>
              </w:rPr>
              <w:t>.)</w:t>
            </w:r>
          </w:p>
        </w:tc>
        <w:tc>
          <w:tcPr>
            <w:tcW w:w="2640" w:type="dxa"/>
            <w:gridSpan w:val="2"/>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Mean earnings</w:t>
            </w:r>
          </w:p>
        </w:tc>
        <w:tc>
          <w:tcPr>
            <w:tcW w:w="1320" w:type="dxa"/>
            <w:vMerge w:val="restart"/>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Number</w:t>
            </w:r>
            <w:r>
              <w:rPr>
                <w:rFonts w:ascii="Arial" w:hAnsi="Arial" w:cs="Arial"/>
                <w:b/>
                <w:bCs/>
                <w:color w:val="000000"/>
                <w:sz w:val="18"/>
                <w:szCs w:val="18"/>
              </w:rPr>
              <w:br/>
              <w:t>with</w:t>
            </w:r>
            <w:r>
              <w:rPr>
                <w:rFonts w:ascii="Arial" w:hAnsi="Arial" w:cs="Arial"/>
                <w:b/>
                <w:bCs/>
                <w:color w:val="000000"/>
                <w:sz w:val="18"/>
                <w:szCs w:val="18"/>
              </w:rPr>
              <w:br/>
            </w:r>
            <w:proofErr w:type="gramStart"/>
            <w:r>
              <w:rPr>
                <w:rFonts w:ascii="Arial" w:hAnsi="Arial" w:cs="Arial"/>
                <w:b/>
                <w:bCs/>
                <w:color w:val="000000"/>
                <w:sz w:val="18"/>
                <w:szCs w:val="18"/>
              </w:rPr>
              <w:t>earnings</w:t>
            </w:r>
            <w:proofErr w:type="gramEnd"/>
            <w:r>
              <w:rPr>
                <w:rFonts w:ascii="Arial" w:hAnsi="Arial" w:cs="Arial"/>
                <w:b/>
                <w:bCs/>
                <w:color w:val="000000"/>
                <w:sz w:val="18"/>
                <w:szCs w:val="18"/>
              </w:rPr>
              <w:br/>
              <w:t>(</w:t>
            </w:r>
            <w:proofErr w:type="spellStart"/>
            <w:r>
              <w:rPr>
                <w:rFonts w:ascii="Arial" w:hAnsi="Arial" w:cs="Arial"/>
                <w:b/>
                <w:bCs/>
                <w:color w:val="000000"/>
                <w:sz w:val="18"/>
                <w:szCs w:val="18"/>
              </w:rPr>
              <w:t>thous</w:t>
            </w:r>
            <w:proofErr w:type="spellEnd"/>
            <w:r>
              <w:rPr>
                <w:rFonts w:ascii="Arial" w:hAnsi="Arial" w:cs="Arial"/>
                <w:b/>
                <w:bCs/>
                <w:color w:val="000000"/>
                <w:sz w:val="18"/>
                <w:szCs w:val="18"/>
              </w:rPr>
              <w:t>.)</w:t>
            </w:r>
          </w:p>
        </w:tc>
        <w:tc>
          <w:tcPr>
            <w:tcW w:w="2640" w:type="dxa"/>
            <w:gridSpan w:val="2"/>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Mean earnings</w:t>
            </w:r>
          </w:p>
        </w:tc>
      </w:tr>
      <w:tr w:rsidR="002035AB" w:rsidTr="002035AB">
        <w:trPr>
          <w:trHeight w:val="480"/>
        </w:trPr>
        <w:tc>
          <w:tcPr>
            <w:tcW w:w="0" w:type="auto"/>
            <w:vMerge/>
            <w:tcBorders>
              <w:top w:val="nil"/>
              <w:left w:val="nil"/>
              <w:bottom w:val="single" w:sz="8" w:space="0" w:color="AAC1D9"/>
              <w:right w:val="nil"/>
            </w:tcBorders>
            <w:vAlign w:val="center"/>
            <w:hideMark/>
          </w:tcPr>
          <w:p w:rsidR="002035AB" w:rsidRDefault="002035AB">
            <w:pPr>
              <w:rPr>
                <w:rFonts w:ascii="Arial" w:eastAsiaTheme="minorHAnsi" w:hAnsi="Arial" w:cs="Arial"/>
                <w:b/>
                <w:bCs/>
                <w:color w:val="000000"/>
                <w:sz w:val="18"/>
                <w:szCs w:val="18"/>
              </w:rPr>
            </w:pPr>
          </w:p>
        </w:tc>
        <w:tc>
          <w:tcPr>
            <w:tcW w:w="0" w:type="auto"/>
            <w:vMerge/>
            <w:tcBorders>
              <w:top w:val="nil"/>
              <w:left w:val="single" w:sz="8" w:space="0" w:color="AAC1D9"/>
              <w:bottom w:val="single" w:sz="8" w:space="0" w:color="AAC1D9"/>
              <w:right w:val="single" w:sz="8" w:space="0" w:color="AAC1D9"/>
            </w:tcBorders>
            <w:vAlign w:val="center"/>
            <w:hideMark/>
          </w:tcPr>
          <w:p w:rsidR="002035AB" w:rsidRDefault="002035AB">
            <w:pPr>
              <w:rPr>
                <w:rFonts w:ascii="Arial" w:eastAsiaTheme="minorHAnsi" w:hAnsi="Arial" w:cs="Arial"/>
                <w:b/>
                <w:bCs/>
                <w:color w:val="000000"/>
                <w:sz w:val="18"/>
                <w:szCs w:val="18"/>
              </w:rPr>
            </w:pPr>
          </w:p>
        </w:tc>
        <w:tc>
          <w:tcPr>
            <w:tcW w:w="1320" w:type="dxa"/>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Current</w:t>
            </w:r>
            <w:r>
              <w:rPr>
                <w:rFonts w:ascii="Arial" w:hAnsi="Arial" w:cs="Arial"/>
                <w:b/>
                <w:bCs/>
                <w:color w:val="000000"/>
                <w:sz w:val="18"/>
                <w:szCs w:val="18"/>
              </w:rPr>
              <w:br/>
              <w:t>dollars</w:t>
            </w:r>
          </w:p>
        </w:tc>
        <w:tc>
          <w:tcPr>
            <w:tcW w:w="1320" w:type="dxa"/>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2017</w:t>
            </w:r>
            <w:r>
              <w:rPr>
                <w:rFonts w:ascii="Arial" w:hAnsi="Arial" w:cs="Arial"/>
                <w:b/>
                <w:bCs/>
                <w:color w:val="000000"/>
                <w:sz w:val="18"/>
                <w:szCs w:val="18"/>
              </w:rPr>
              <w:br/>
              <w:t>dollars</w:t>
            </w:r>
          </w:p>
        </w:tc>
        <w:tc>
          <w:tcPr>
            <w:tcW w:w="0" w:type="auto"/>
            <w:vMerge/>
            <w:tcBorders>
              <w:top w:val="nil"/>
              <w:left w:val="nil"/>
              <w:bottom w:val="single" w:sz="8" w:space="0" w:color="AAC1D9"/>
              <w:right w:val="single" w:sz="8" w:space="0" w:color="AAC1D9"/>
            </w:tcBorders>
            <w:vAlign w:val="center"/>
            <w:hideMark/>
          </w:tcPr>
          <w:p w:rsidR="002035AB" w:rsidRDefault="002035AB">
            <w:pPr>
              <w:rPr>
                <w:rFonts w:ascii="Arial" w:eastAsiaTheme="minorHAnsi" w:hAnsi="Arial" w:cs="Arial"/>
                <w:b/>
                <w:bCs/>
                <w:color w:val="000000"/>
                <w:sz w:val="18"/>
                <w:szCs w:val="18"/>
              </w:rPr>
            </w:pPr>
          </w:p>
        </w:tc>
        <w:tc>
          <w:tcPr>
            <w:tcW w:w="1320" w:type="dxa"/>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Current</w:t>
            </w:r>
            <w:r>
              <w:rPr>
                <w:rFonts w:ascii="Arial" w:hAnsi="Arial" w:cs="Arial"/>
                <w:b/>
                <w:bCs/>
                <w:color w:val="000000"/>
                <w:sz w:val="18"/>
                <w:szCs w:val="18"/>
              </w:rPr>
              <w:br/>
              <w:t>dollars</w:t>
            </w:r>
          </w:p>
        </w:tc>
        <w:tc>
          <w:tcPr>
            <w:tcW w:w="1320" w:type="dxa"/>
            <w:tcBorders>
              <w:top w:val="nil"/>
              <w:left w:val="nil"/>
              <w:bottom w:val="single" w:sz="8" w:space="0" w:color="AAC1D9"/>
              <w:right w:val="single" w:sz="8" w:space="0" w:color="AAC1D9"/>
            </w:tcBorders>
            <w:shd w:val="clear" w:color="auto" w:fill="99CCFF"/>
            <w:tcMar>
              <w:top w:w="0" w:type="dxa"/>
              <w:left w:w="108" w:type="dxa"/>
              <w:bottom w:w="0" w:type="dxa"/>
              <w:right w:w="108" w:type="dxa"/>
            </w:tcMar>
            <w:vAlign w:val="center"/>
            <w:hideMark/>
          </w:tcPr>
          <w:p w:rsidR="002035AB" w:rsidRDefault="002035AB">
            <w:pPr>
              <w:jc w:val="center"/>
              <w:rPr>
                <w:rFonts w:ascii="Arial" w:hAnsi="Arial" w:cs="Arial"/>
                <w:b/>
                <w:bCs/>
                <w:color w:val="000000"/>
                <w:sz w:val="18"/>
                <w:szCs w:val="18"/>
              </w:rPr>
            </w:pPr>
            <w:r>
              <w:rPr>
                <w:rFonts w:ascii="Arial" w:hAnsi="Arial" w:cs="Arial"/>
                <w:b/>
                <w:bCs/>
                <w:color w:val="000000"/>
                <w:sz w:val="18"/>
                <w:szCs w:val="18"/>
              </w:rPr>
              <w:t>2017</w:t>
            </w:r>
            <w:r>
              <w:rPr>
                <w:rFonts w:ascii="Arial" w:hAnsi="Arial" w:cs="Arial"/>
                <w:b/>
                <w:bCs/>
                <w:color w:val="000000"/>
                <w:sz w:val="18"/>
                <w:szCs w:val="18"/>
              </w:rPr>
              <w:br/>
              <w:t>dollars</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FFFFFF"/>
                <w:sz w:val="16"/>
                <w:szCs w:val="16"/>
              </w:rPr>
            </w:pPr>
            <w:r>
              <w:rPr>
                <w:rFonts w:ascii="Arial" w:hAnsi="Arial" w:cs="Arial"/>
                <w:color w:val="FFFFFF"/>
                <w:sz w:val="16"/>
                <w:szCs w:val="16"/>
              </w:rPr>
              <w:t>.</w:t>
            </w:r>
            <w:r>
              <w:rPr>
                <w:rFonts w:ascii="Arial" w:hAnsi="Arial" w:cs="Arial"/>
                <w:sz w:val="16"/>
                <w:szCs w:val="16"/>
              </w:rPr>
              <w:t>Total</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30,530</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95,133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95,133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30,902</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62,787</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62,787</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18 to 24 years</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1,170</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40,545</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40,545</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1,625</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31,607</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31,607</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25 to 34 years</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7,383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74,713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74,713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8,125</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53,766</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53,766</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35 to 44 years</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7,176</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100,368</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100,368</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7,408</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70,522</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70,522</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45 to 54 years</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6,473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112,020</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112,020</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6,701</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70,911</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70,911</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55 to 64 years</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5,338</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112,049</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112,049</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5,048</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70,343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70,343</w:t>
            </w:r>
          </w:p>
        </w:tc>
      </w:tr>
      <w:tr w:rsidR="002035AB" w:rsidTr="002035AB">
        <w:trPr>
          <w:trHeight w:val="300"/>
        </w:trPr>
        <w:tc>
          <w:tcPr>
            <w:tcW w:w="418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rPr>
                <w:rFonts w:ascii="Arial" w:hAnsi="Arial" w:cs="Arial"/>
                <w:color w:val="000000"/>
                <w:sz w:val="16"/>
                <w:szCs w:val="16"/>
              </w:rPr>
            </w:pPr>
            <w:r>
              <w:rPr>
                <w:rFonts w:ascii="Arial" w:hAnsi="Arial" w:cs="Arial"/>
                <w:color w:val="000000"/>
                <w:sz w:val="16"/>
                <w:szCs w:val="16"/>
              </w:rPr>
              <w:t>65 years and over</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2,990</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87,592</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87,592</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1,995</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49,793</w:t>
            </w:r>
          </w:p>
        </w:tc>
        <w:tc>
          <w:tcPr>
            <w:tcW w:w="1320" w:type="dxa"/>
            <w:tcBorders>
              <w:top w:val="nil"/>
              <w:left w:val="nil"/>
              <w:bottom w:val="single" w:sz="8" w:space="0" w:color="AAC1D9"/>
              <w:right w:val="single" w:sz="8" w:space="0" w:color="AAC1D9"/>
            </w:tcBorders>
            <w:shd w:val="clear" w:color="auto" w:fill="FFFFFF"/>
            <w:tcMar>
              <w:top w:w="0" w:type="dxa"/>
              <w:left w:w="108" w:type="dxa"/>
              <w:bottom w:w="0" w:type="dxa"/>
              <w:right w:w="108" w:type="dxa"/>
            </w:tcMar>
            <w:vAlign w:val="bottom"/>
            <w:hideMark/>
          </w:tcPr>
          <w:p w:rsidR="002035AB" w:rsidRDefault="002035AB">
            <w:pPr>
              <w:jc w:val="right"/>
              <w:rPr>
                <w:rFonts w:ascii="Arial" w:hAnsi="Arial" w:cs="Arial"/>
                <w:color w:val="000000"/>
                <w:sz w:val="16"/>
                <w:szCs w:val="16"/>
              </w:rPr>
            </w:pPr>
            <w:r>
              <w:rPr>
                <w:rFonts w:ascii="Arial" w:hAnsi="Arial" w:cs="Arial"/>
                <w:color w:val="000000"/>
                <w:sz w:val="16"/>
                <w:szCs w:val="16"/>
              </w:rPr>
              <w:t>49,793</w:t>
            </w:r>
          </w:p>
        </w:tc>
      </w:tr>
    </w:tbl>
    <w:p w:rsidR="002035AB" w:rsidRDefault="002035AB" w:rsidP="002035AB">
      <w:pPr>
        <w:rPr>
          <w:rFonts w:ascii="Calibri" w:eastAsiaTheme="minorHAnsi" w:hAnsi="Calibri" w:cs="Calibri"/>
          <w:sz w:val="22"/>
          <w:szCs w:val="22"/>
        </w:rPr>
      </w:pPr>
    </w:p>
    <w:p w:rsidR="000F6A34" w:rsidRPr="002035AB" w:rsidRDefault="000F6A34">
      <w:pPr>
        <w:spacing w:line="360" w:lineRule="auto"/>
        <w:ind w:left="720"/>
        <w:jc w:val="both"/>
        <w:rPr>
          <w:rFonts w:ascii="Times New Roman" w:hAnsi="Times New Roman"/>
          <w:sz w:val="16"/>
          <w:szCs w:val="16"/>
        </w:rPr>
      </w:pPr>
    </w:p>
    <w:p w:rsidR="00AD14F8" w:rsidRDefault="00AD14F8">
      <w:pPr>
        <w:widowControl/>
        <w:autoSpaceDE/>
        <w:autoSpaceDN/>
        <w:adjustRightInd/>
        <w:rPr>
          <w:rFonts w:ascii="Times New Roman" w:hAnsi="Times New Roman"/>
        </w:rPr>
      </w:pPr>
      <w:r>
        <w:rPr>
          <w:rFonts w:ascii="Times New Roman" w:hAnsi="Times New Roman"/>
        </w:rPr>
        <w:br w:type="page"/>
      </w:r>
    </w:p>
    <w:p w:rsidR="00881125" w:rsidRDefault="00881125">
      <w:pPr>
        <w:widowControl/>
        <w:autoSpaceDE/>
        <w:autoSpaceDN/>
        <w:adjustRightInd/>
        <w:rPr>
          <w:rFonts w:ascii="Times New Roman" w:hAnsi="Times New Roman"/>
        </w:rPr>
      </w:pPr>
      <w:bookmarkStart w:id="1" w:name="_GoBack"/>
      <w:bookmarkEnd w:id="1"/>
    </w:p>
    <w:p w:rsidR="00881125" w:rsidRDefault="00881125">
      <w:pPr>
        <w:widowControl/>
        <w:autoSpaceDE/>
        <w:autoSpaceDN/>
        <w:adjustRightInd/>
        <w:rPr>
          <w:rFonts w:ascii="Times New Roman" w:hAnsi="Times New Roman"/>
        </w:rPr>
      </w:pPr>
    </w:p>
    <w:sectPr w:rsidR="00881125" w:rsidSect="00181AC1">
      <w:type w:val="continuous"/>
      <w:pgSz w:w="12240" w:h="15840"/>
      <w:pgMar w:top="1080" w:right="1080" w:bottom="720" w:left="135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D0" w:rsidRDefault="000664D0">
      <w:r>
        <w:separator/>
      </w:r>
    </w:p>
  </w:endnote>
  <w:endnote w:type="continuationSeparator" w:id="0">
    <w:p w:rsidR="000664D0" w:rsidRDefault="000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mp;quo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Default="000664D0">
    <w:pPr>
      <w:spacing w:line="240" w:lineRule="exact"/>
    </w:pPr>
  </w:p>
  <w:p w:rsidR="000664D0" w:rsidRDefault="000664D0">
    <w:pPr>
      <w:framePr w:w="9811" w:wrap="notBeside" w:vAnchor="text" w:hAnchor="text" w:x="1" w:y="1"/>
      <w:jc w:val="center"/>
      <w:rPr>
        <w:rFonts w:ascii="Microsoft Sans Serif" w:hAnsi="Microsoft Sans Serif" w:cs="Microsoft Sans Serif"/>
      </w:rPr>
    </w:pPr>
    <w:r>
      <w:rPr>
        <w:rFonts w:ascii="Microsoft Sans Serif" w:hAnsi="Microsoft Sans Serif" w:cs="Microsoft Sans Serif"/>
      </w:rPr>
      <w:fldChar w:fldCharType="begin"/>
    </w:r>
    <w:r>
      <w:rPr>
        <w:rFonts w:ascii="Microsoft Sans Serif" w:hAnsi="Microsoft Sans Serif" w:cs="Microsoft Sans Serif"/>
      </w:rPr>
      <w:instrText xml:space="preserve">PAGE </w:instrText>
    </w:r>
    <w:r>
      <w:rPr>
        <w:rFonts w:ascii="Microsoft Sans Serif" w:hAnsi="Microsoft Sans Serif" w:cs="Microsoft Sans Serif"/>
      </w:rPr>
      <w:fldChar w:fldCharType="separate"/>
    </w:r>
    <w:r w:rsidR="0098526A">
      <w:rPr>
        <w:rFonts w:ascii="Microsoft Sans Serif" w:hAnsi="Microsoft Sans Serif" w:cs="Microsoft Sans Serif"/>
        <w:noProof/>
      </w:rPr>
      <w:t>7</w:t>
    </w:r>
    <w:r>
      <w:rPr>
        <w:rFonts w:ascii="Microsoft Sans Serif" w:hAnsi="Microsoft Sans Serif" w:cs="Microsoft Sans Serif"/>
      </w:rPr>
      <w:fldChar w:fldCharType="end"/>
    </w:r>
  </w:p>
  <w:p w:rsidR="000664D0" w:rsidRDefault="000664D0">
    <w:pPr>
      <w:ind w:left="9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D0" w:rsidRDefault="000664D0">
      <w:r>
        <w:separator/>
      </w:r>
    </w:p>
  </w:footnote>
  <w:footnote w:type="continuationSeparator" w:id="0">
    <w:p w:rsidR="000664D0" w:rsidRDefault="00066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7" w15:restartNumberingAfterBreak="0">
    <w:nsid w:val="01984CD4"/>
    <w:multiLevelType w:val="hybridMultilevel"/>
    <w:tmpl w:val="5DBEA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1D572D"/>
    <w:multiLevelType w:val="hybridMultilevel"/>
    <w:tmpl w:val="4176E0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8D08E4"/>
    <w:multiLevelType w:val="hybridMultilevel"/>
    <w:tmpl w:val="6A386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E80161"/>
    <w:multiLevelType w:val="hybridMultilevel"/>
    <w:tmpl w:val="2CBEF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883999"/>
    <w:multiLevelType w:val="hybridMultilevel"/>
    <w:tmpl w:val="E8489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C2F4B37"/>
    <w:multiLevelType w:val="hybridMultilevel"/>
    <w:tmpl w:val="A5AC5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A1114"/>
    <w:multiLevelType w:val="hybridMultilevel"/>
    <w:tmpl w:val="C2A847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74DB3BE0"/>
    <w:multiLevelType w:val="hybridMultilevel"/>
    <w:tmpl w:val="97F4E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5"/>
    <w:lvlOverride w:ilvl="0">
      <w:startOverride w:val="3"/>
      <w:lvl w:ilvl="0">
        <w:start w:val="3"/>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0"/>
  </w:num>
  <w:num w:numId="5">
    <w:abstractNumId w:val="10"/>
  </w:num>
  <w:num w:numId="6">
    <w:abstractNumId w:val="13"/>
  </w:num>
  <w:num w:numId="7">
    <w:abstractNumId w:val="9"/>
  </w:num>
  <w:num w:numId="8">
    <w:abstractNumId w:val="11"/>
  </w:num>
  <w:num w:numId="9">
    <w:abstractNumId w:val="7"/>
  </w:num>
  <w:num w:numId="10">
    <w:abstractNumId w:val="14"/>
  </w:num>
  <w:num w:numId="11">
    <w:abstractNumId w:val="8"/>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C1"/>
    <w:rsid w:val="00001884"/>
    <w:rsid w:val="0003092B"/>
    <w:rsid w:val="00033597"/>
    <w:rsid w:val="00034AD6"/>
    <w:rsid w:val="0004102B"/>
    <w:rsid w:val="00046ADF"/>
    <w:rsid w:val="000653D2"/>
    <w:rsid w:val="000664D0"/>
    <w:rsid w:val="0008123A"/>
    <w:rsid w:val="000937D2"/>
    <w:rsid w:val="000A1E77"/>
    <w:rsid w:val="000B262D"/>
    <w:rsid w:val="000D063D"/>
    <w:rsid w:val="000D3DAF"/>
    <w:rsid w:val="000D455F"/>
    <w:rsid w:val="000E3366"/>
    <w:rsid w:val="000E42CA"/>
    <w:rsid w:val="000E496F"/>
    <w:rsid w:val="000F6A34"/>
    <w:rsid w:val="000F7C09"/>
    <w:rsid w:val="001043D9"/>
    <w:rsid w:val="001072DB"/>
    <w:rsid w:val="001110E8"/>
    <w:rsid w:val="00112969"/>
    <w:rsid w:val="0011407D"/>
    <w:rsid w:val="00122023"/>
    <w:rsid w:val="00123FB3"/>
    <w:rsid w:val="00133468"/>
    <w:rsid w:val="0015431B"/>
    <w:rsid w:val="00176ADE"/>
    <w:rsid w:val="00176B91"/>
    <w:rsid w:val="00181AC1"/>
    <w:rsid w:val="00182432"/>
    <w:rsid w:val="00185968"/>
    <w:rsid w:val="0018776E"/>
    <w:rsid w:val="00187E78"/>
    <w:rsid w:val="00195EB2"/>
    <w:rsid w:val="001964FA"/>
    <w:rsid w:val="001A2126"/>
    <w:rsid w:val="001A78D4"/>
    <w:rsid w:val="001B6D11"/>
    <w:rsid w:val="001C166D"/>
    <w:rsid w:val="001C47A9"/>
    <w:rsid w:val="001D6A54"/>
    <w:rsid w:val="001E2AC6"/>
    <w:rsid w:val="001F189D"/>
    <w:rsid w:val="002035AB"/>
    <w:rsid w:val="00206991"/>
    <w:rsid w:val="0021352D"/>
    <w:rsid w:val="00215FB3"/>
    <w:rsid w:val="002216E6"/>
    <w:rsid w:val="00233D70"/>
    <w:rsid w:val="00255615"/>
    <w:rsid w:val="00281A1B"/>
    <w:rsid w:val="00282C3B"/>
    <w:rsid w:val="002A019D"/>
    <w:rsid w:val="002B0968"/>
    <w:rsid w:val="002C25A4"/>
    <w:rsid w:val="002D3E65"/>
    <w:rsid w:val="002D709C"/>
    <w:rsid w:val="002F2206"/>
    <w:rsid w:val="002F7AE1"/>
    <w:rsid w:val="00302D20"/>
    <w:rsid w:val="0030334D"/>
    <w:rsid w:val="00303C1D"/>
    <w:rsid w:val="00306119"/>
    <w:rsid w:val="003257C5"/>
    <w:rsid w:val="003320D4"/>
    <w:rsid w:val="00332476"/>
    <w:rsid w:val="003653CF"/>
    <w:rsid w:val="00366F88"/>
    <w:rsid w:val="003771D3"/>
    <w:rsid w:val="00382FDF"/>
    <w:rsid w:val="00384729"/>
    <w:rsid w:val="00392899"/>
    <w:rsid w:val="00394A9A"/>
    <w:rsid w:val="003A3B9F"/>
    <w:rsid w:val="003B69E9"/>
    <w:rsid w:val="003C166E"/>
    <w:rsid w:val="003C6DAC"/>
    <w:rsid w:val="003D025A"/>
    <w:rsid w:val="003D6EDA"/>
    <w:rsid w:val="003E1DA6"/>
    <w:rsid w:val="003E4367"/>
    <w:rsid w:val="003F1112"/>
    <w:rsid w:val="003F4BD3"/>
    <w:rsid w:val="003F51D2"/>
    <w:rsid w:val="004162D8"/>
    <w:rsid w:val="00422D26"/>
    <w:rsid w:val="0042313A"/>
    <w:rsid w:val="00461C59"/>
    <w:rsid w:val="004753E6"/>
    <w:rsid w:val="0048399A"/>
    <w:rsid w:val="004B1D05"/>
    <w:rsid w:val="004B2359"/>
    <w:rsid w:val="004B30D5"/>
    <w:rsid w:val="004D4842"/>
    <w:rsid w:val="004D4F8F"/>
    <w:rsid w:val="00500355"/>
    <w:rsid w:val="00500C74"/>
    <w:rsid w:val="00500D87"/>
    <w:rsid w:val="00502681"/>
    <w:rsid w:val="00516802"/>
    <w:rsid w:val="005172EA"/>
    <w:rsid w:val="0052333B"/>
    <w:rsid w:val="00533107"/>
    <w:rsid w:val="00540F66"/>
    <w:rsid w:val="00544698"/>
    <w:rsid w:val="00546FC1"/>
    <w:rsid w:val="005549DF"/>
    <w:rsid w:val="00557A43"/>
    <w:rsid w:val="00563E1B"/>
    <w:rsid w:val="00564DC7"/>
    <w:rsid w:val="0057093C"/>
    <w:rsid w:val="00571968"/>
    <w:rsid w:val="00577378"/>
    <w:rsid w:val="005A7112"/>
    <w:rsid w:val="005B0B1E"/>
    <w:rsid w:val="005B0E2D"/>
    <w:rsid w:val="005F44AA"/>
    <w:rsid w:val="005F53FC"/>
    <w:rsid w:val="006039AC"/>
    <w:rsid w:val="00603F55"/>
    <w:rsid w:val="00624D3F"/>
    <w:rsid w:val="00642785"/>
    <w:rsid w:val="00646033"/>
    <w:rsid w:val="00647EF5"/>
    <w:rsid w:val="00652B4F"/>
    <w:rsid w:val="00661444"/>
    <w:rsid w:val="00684A4B"/>
    <w:rsid w:val="006C3AF7"/>
    <w:rsid w:val="006D14D8"/>
    <w:rsid w:val="006D51C7"/>
    <w:rsid w:val="0070486E"/>
    <w:rsid w:val="00710598"/>
    <w:rsid w:val="00716A65"/>
    <w:rsid w:val="007218C3"/>
    <w:rsid w:val="00735688"/>
    <w:rsid w:val="00735E60"/>
    <w:rsid w:val="00751C8C"/>
    <w:rsid w:val="00753337"/>
    <w:rsid w:val="00756027"/>
    <w:rsid w:val="00767EF3"/>
    <w:rsid w:val="0077101F"/>
    <w:rsid w:val="00771C67"/>
    <w:rsid w:val="00773604"/>
    <w:rsid w:val="0077666D"/>
    <w:rsid w:val="00777866"/>
    <w:rsid w:val="007823A8"/>
    <w:rsid w:val="007A1412"/>
    <w:rsid w:val="007A74FE"/>
    <w:rsid w:val="007B27D9"/>
    <w:rsid w:val="007B7D47"/>
    <w:rsid w:val="007C2726"/>
    <w:rsid w:val="007D0E4A"/>
    <w:rsid w:val="007D2DAD"/>
    <w:rsid w:val="00800A58"/>
    <w:rsid w:val="00806989"/>
    <w:rsid w:val="008140DA"/>
    <w:rsid w:val="00841E18"/>
    <w:rsid w:val="00842B75"/>
    <w:rsid w:val="008530BC"/>
    <w:rsid w:val="00855732"/>
    <w:rsid w:val="00866EFA"/>
    <w:rsid w:val="00881125"/>
    <w:rsid w:val="00884D48"/>
    <w:rsid w:val="00896122"/>
    <w:rsid w:val="0089637A"/>
    <w:rsid w:val="00896F41"/>
    <w:rsid w:val="008A7338"/>
    <w:rsid w:val="008B753F"/>
    <w:rsid w:val="008B7AC8"/>
    <w:rsid w:val="008C5B24"/>
    <w:rsid w:val="008D51CF"/>
    <w:rsid w:val="008E07C5"/>
    <w:rsid w:val="008F32B6"/>
    <w:rsid w:val="008F6237"/>
    <w:rsid w:val="0090118D"/>
    <w:rsid w:val="00902C3F"/>
    <w:rsid w:val="00925707"/>
    <w:rsid w:val="00944E0A"/>
    <w:rsid w:val="00947B9F"/>
    <w:rsid w:val="0095532D"/>
    <w:rsid w:val="009743AD"/>
    <w:rsid w:val="00977483"/>
    <w:rsid w:val="0098526A"/>
    <w:rsid w:val="0098591F"/>
    <w:rsid w:val="009A283A"/>
    <w:rsid w:val="009A28FB"/>
    <w:rsid w:val="009A52EC"/>
    <w:rsid w:val="009B1F60"/>
    <w:rsid w:val="009B67B9"/>
    <w:rsid w:val="009D292B"/>
    <w:rsid w:val="009D2E79"/>
    <w:rsid w:val="009E5279"/>
    <w:rsid w:val="009F01CD"/>
    <w:rsid w:val="009F3921"/>
    <w:rsid w:val="00A027FB"/>
    <w:rsid w:val="00A02D92"/>
    <w:rsid w:val="00A04DF6"/>
    <w:rsid w:val="00A06C63"/>
    <w:rsid w:val="00A11969"/>
    <w:rsid w:val="00A1439A"/>
    <w:rsid w:val="00A23099"/>
    <w:rsid w:val="00A3653A"/>
    <w:rsid w:val="00A36C3D"/>
    <w:rsid w:val="00A532AD"/>
    <w:rsid w:val="00A71042"/>
    <w:rsid w:val="00A72548"/>
    <w:rsid w:val="00AC7C04"/>
    <w:rsid w:val="00AD05D4"/>
    <w:rsid w:val="00AD14F8"/>
    <w:rsid w:val="00AD41DC"/>
    <w:rsid w:val="00B30487"/>
    <w:rsid w:val="00B32B57"/>
    <w:rsid w:val="00B62021"/>
    <w:rsid w:val="00B71D03"/>
    <w:rsid w:val="00B85721"/>
    <w:rsid w:val="00B876B7"/>
    <w:rsid w:val="00B87D35"/>
    <w:rsid w:val="00B937EB"/>
    <w:rsid w:val="00BA1268"/>
    <w:rsid w:val="00BA5A38"/>
    <w:rsid w:val="00BB6335"/>
    <w:rsid w:val="00BB6C90"/>
    <w:rsid w:val="00BD206C"/>
    <w:rsid w:val="00BD2A47"/>
    <w:rsid w:val="00BD7844"/>
    <w:rsid w:val="00BE0843"/>
    <w:rsid w:val="00BE1040"/>
    <w:rsid w:val="00BE3312"/>
    <w:rsid w:val="00BF3573"/>
    <w:rsid w:val="00C039CD"/>
    <w:rsid w:val="00C31992"/>
    <w:rsid w:val="00C3261C"/>
    <w:rsid w:val="00C328F2"/>
    <w:rsid w:val="00C40DFC"/>
    <w:rsid w:val="00C52CB1"/>
    <w:rsid w:val="00C54F25"/>
    <w:rsid w:val="00C5728D"/>
    <w:rsid w:val="00C81930"/>
    <w:rsid w:val="00C861A6"/>
    <w:rsid w:val="00C91622"/>
    <w:rsid w:val="00CA39CE"/>
    <w:rsid w:val="00CD08F4"/>
    <w:rsid w:val="00CF728F"/>
    <w:rsid w:val="00D04FFD"/>
    <w:rsid w:val="00D05816"/>
    <w:rsid w:val="00D15627"/>
    <w:rsid w:val="00D16F41"/>
    <w:rsid w:val="00D34F91"/>
    <w:rsid w:val="00D47D22"/>
    <w:rsid w:val="00D7448F"/>
    <w:rsid w:val="00DB5253"/>
    <w:rsid w:val="00DD3D77"/>
    <w:rsid w:val="00DF2371"/>
    <w:rsid w:val="00DF5CD4"/>
    <w:rsid w:val="00E042B8"/>
    <w:rsid w:val="00E057AC"/>
    <w:rsid w:val="00E05D95"/>
    <w:rsid w:val="00E0626D"/>
    <w:rsid w:val="00E10302"/>
    <w:rsid w:val="00E15988"/>
    <w:rsid w:val="00E17AD1"/>
    <w:rsid w:val="00E2622C"/>
    <w:rsid w:val="00E36668"/>
    <w:rsid w:val="00E400F8"/>
    <w:rsid w:val="00E42AA3"/>
    <w:rsid w:val="00E455C0"/>
    <w:rsid w:val="00E46C73"/>
    <w:rsid w:val="00E62824"/>
    <w:rsid w:val="00E629CE"/>
    <w:rsid w:val="00E71911"/>
    <w:rsid w:val="00E72584"/>
    <w:rsid w:val="00E83943"/>
    <w:rsid w:val="00E87AE3"/>
    <w:rsid w:val="00E91CFB"/>
    <w:rsid w:val="00E9375F"/>
    <w:rsid w:val="00EA27B9"/>
    <w:rsid w:val="00EB6F44"/>
    <w:rsid w:val="00EC0A9D"/>
    <w:rsid w:val="00ED1E6C"/>
    <w:rsid w:val="00EE12CB"/>
    <w:rsid w:val="00EF134B"/>
    <w:rsid w:val="00F016C7"/>
    <w:rsid w:val="00F15136"/>
    <w:rsid w:val="00F16B86"/>
    <w:rsid w:val="00F20049"/>
    <w:rsid w:val="00F3495A"/>
    <w:rsid w:val="00F540DB"/>
    <w:rsid w:val="00F61757"/>
    <w:rsid w:val="00F6204E"/>
    <w:rsid w:val="00F64261"/>
    <w:rsid w:val="00F77593"/>
    <w:rsid w:val="00F87972"/>
    <w:rsid w:val="00F92C6A"/>
    <w:rsid w:val="00F95050"/>
    <w:rsid w:val="00F97B48"/>
    <w:rsid w:val="00FB072A"/>
    <w:rsid w:val="00FB1B3A"/>
    <w:rsid w:val="00FB4156"/>
    <w:rsid w:val="00FC2D80"/>
    <w:rsid w:val="00FC2EF8"/>
    <w:rsid w:val="00FC4D38"/>
    <w:rsid w:val="00FE1F00"/>
    <w:rsid w:val="00FF3728"/>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6D7A7D"/>
  <w15:docId w15:val="{BF774207-55E1-4C52-9662-4BDCFEC9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BalloonText">
    <w:name w:val="Balloon Text"/>
    <w:basedOn w:val="Normal"/>
    <w:semiHidden/>
    <w:rsid w:val="00F20049"/>
    <w:rPr>
      <w:rFonts w:ascii="Tahoma" w:hAnsi="Tahoma" w:cs="Tahoma"/>
      <w:sz w:val="16"/>
      <w:szCs w:val="16"/>
    </w:rPr>
  </w:style>
  <w:style w:type="paragraph" w:styleId="ListParagraph">
    <w:name w:val="List Paragraph"/>
    <w:basedOn w:val="Normal"/>
    <w:uiPriority w:val="34"/>
    <w:qFormat/>
    <w:rsid w:val="0011407D"/>
    <w:pPr>
      <w:ind w:left="720"/>
      <w:contextualSpacing/>
    </w:pPr>
  </w:style>
  <w:style w:type="table" w:styleId="TableGrid">
    <w:name w:val="Table Grid"/>
    <w:basedOn w:val="TableNormal"/>
    <w:rsid w:val="00546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47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44376">
      <w:bodyDiv w:val="1"/>
      <w:marLeft w:val="0"/>
      <w:marRight w:val="0"/>
      <w:marTop w:val="0"/>
      <w:marBottom w:val="0"/>
      <w:divBdr>
        <w:top w:val="none" w:sz="0" w:space="0" w:color="auto"/>
        <w:left w:val="none" w:sz="0" w:space="0" w:color="auto"/>
        <w:bottom w:val="none" w:sz="0" w:space="0" w:color="auto"/>
        <w:right w:val="none" w:sz="0" w:space="0" w:color="auto"/>
      </w:divBdr>
    </w:div>
    <w:div w:id="791903943">
      <w:bodyDiv w:val="1"/>
      <w:marLeft w:val="0"/>
      <w:marRight w:val="0"/>
      <w:marTop w:val="0"/>
      <w:marBottom w:val="0"/>
      <w:divBdr>
        <w:top w:val="none" w:sz="0" w:space="0" w:color="auto"/>
        <w:left w:val="none" w:sz="0" w:space="0" w:color="auto"/>
        <w:bottom w:val="none" w:sz="0" w:space="0" w:color="auto"/>
        <w:right w:val="none" w:sz="0" w:space="0" w:color="auto"/>
      </w:divBdr>
    </w:div>
    <w:div w:id="12189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tables/time-series/demo/income-poverty/historical-income-peop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tlouisfed.org/fre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ensus.gov/programs-surveys/cps/tables/time-series/historical-income-people/p28.xls" TargetMode="External"/><Relationship Id="rId5" Type="http://schemas.openxmlformats.org/officeDocument/2006/relationships/footnotes" Target="footnotes.xml"/><Relationship Id="rId10" Type="http://schemas.openxmlformats.org/officeDocument/2006/relationships/hyperlink" Target="https://www2.census.gov/programs-surveys/cps/tables/time-series/historical-income-people/p28.xl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kaempfer</dc:creator>
  <cp:lastModifiedBy>William H Kaempfer</cp:lastModifiedBy>
  <cp:revision>3</cp:revision>
  <cp:lastPrinted>2017-01-22T23:46:00Z</cp:lastPrinted>
  <dcterms:created xsi:type="dcterms:W3CDTF">2019-11-06T15:34:00Z</dcterms:created>
  <dcterms:modified xsi:type="dcterms:W3CDTF">2019-11-07T02:25:00Z</dcterms:modified>
</cp:coreProperties>
</file>