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4601" w14:textId="77777777" w:rsidR="00D308F9" w:rsidRDefault="00D308F9" w:rsidP="00D308F9">
      <w:pPr>
        <w:pStyle w:val="Default"/>
      </w:pPr>
    </w:p>
    <w:p w14:paraId="4454FDCE" w14:textId="178234F5" w:rsidR="00D308F9" w:rsidRPr="00711D60" w:rsidRDefault="00D308F9" w:rsidP="00711D60">
      <w:pPr>
        <w:spacing w:line="276" w:lineRule="auto"/>
        <w:jc w:val="center"/>
        <w:rPr>
          <w:rStyle w:val="A7"/>
          <w:rFonts w:ascii="Times New Roman" w:hAnsi="Times New Roman" w:cs="Times New Roman"/>
          <w:sz w:val="22"/>
          <w:szCs w:val="22"/>
        </w:rPr>
      </w:pPr>
      <w:r w:rsidRPr="00711D60">
        <w:rPr>
          <w:rStyle w:val="A7"/>
          <w:rFonts w:ascii="Times New Roman" w:hAnsi="Times New Roman" w:cs="Times New Roman"/>
          <w:sz w:val="22"/>
          <w:szCs w:val="22"/>
        </w:rPr>
        <w:t>SECRET SETTLEMENTS: Truth and Consequences</w:t>
      </w:r>
    </w:p>
    <w:p w14:paraId="79365F8F" w14:textId="406DBDB8" w:rsidR="00303421" w:rsidRPr="00711D60" w:rsidRDefault="00303421" w:rsidP="00711D60">
      <w:pPr>
        <w:spacing w:line="276" w:lineRule="auto"/>
        <w:jc w:val="center"/>
        <w:rPr>
          <w:rFonts w:ascii="Times New Roman" w:hAnsi="Times New Roman" w:cs="Times New Roman"/>
        </w:rPr>
      </w:pPr>
      <w:r w:rsidRPr="00711D60">
        <w:rPr>
          <w:rStyle w:val="A7"/>
          <w:rFonts w:ascii="Times New Roman" w:hAnsi="Times New Roman" w:cs="Times New Roman"/>
          <w:sz w:val="22"/>
          <w:szCs w:val="22"/>
        </w:rPr>
        <w:t>Erin K. Olson and Jerry O’Neill</w:t>
      </w:r>
    </w:p>
    <w:p w14:paraId="7A552AC2" w14:textId="77777777" w:rsidR="00711D60" w:rsidRDefault="00711D60" w:rsidP="00711D60">
      <w:pPr>
        <w:spacing w:line="276" w:lineRule="auto"/>
        <w:rPr>
          <w:rFonts w:ascii="Times New Roman" w:hAnsi="Times New Roman" w:cs="Times New Roman"/>
        </w:rPr>
      </w:pPr>
    </w:p>
    <w:p w14:paraId="7A716F29" w14:textId="51D8BD78" w:rsidR="00711D60" w:rsidRPr="00711D60" w:rsidRDefault="00711D60" w:rsidP="00711D60">
      <w:pPr>
        <w:spacing w:line="276" w:lineRule="auto"/>
        <w:jc w:val="center"/>
        <w:rPr>
          <w:rFonts w:ascii="Times New Roman" w:hAnsi="Times New Roman" w:cs="Times New Roman"/>
          <w:b/>
          <w:bCs/>
          <w:u w:val="single"/>
        </w:rPr>
      </w:pPr>
      <w:r>
        <w:rPr>
          <w:rFonts w:ascii="Times New Roman" w:hAnsi="Times New Roman" w:cs="Times New Roman"/>
          <w:b/>
          <w:bCs/>
          <w:u w:val="single"/>
        </w:rPr>
        <w:t>Case Scenario</w:t>
      </w:r>
    </w:p>
    <w:p w14:paraId="34ADAF86" w14:textId="30565115" w:rsidR="00D308F9" w:rsidRPr="00255B96" w:rsidRDefault="00533A35" w:rsidP="00255B96">
      <w:pPr>
        <w:spacing w:line="276" w:lineRule="auto"/>
        <w:rPr>
          <w:rFonts w:ascii="Times New Roman" w:hAnsi="Times New Roman" w:cs="Times New Roman"/>
        </w:rPr>
      </w:pPr>
      <w:r w:rsidRPr="00255B96">
        <w:rPr>
          <w:rFonts w:ascii="Times New Roman" w:hAnsi="Times New Roman" w:cs="Times New Roman"/>
        </w:rPr>
        <w:t>We have all been asked by defense counsel for some form of confidentiality during settlement negotiations.  Sometimes the request is just for confidentiality of the amount of the settlement, but in many or most of the cases we handle as crime victim attorneys, the request is for a gag order.</w:t>
      </w:r>
      <w:r w:rsidR="009C6EC9" w:rsidRPr="00255B96">
        <w:rPr>
          <w:rFonts w:ascii="Times New Roman" w:hAnsi="Times New Roman" w:cs="Times New Roman"/>
        </w:rPr>
        <w:t xml:space="preserve">  Consider the provisions below from a settlement agreement </w:t>
      </w:r>
      <w:r w:rsidR="00C136E7" w:rsidRPr="00255B96">
        <w:rPr>
          <w:rFonts w:ascii="Times New Roman" w:hAnsi="Times New Roman" w:cs="Times New Roman"/>
        </w:rPr>
        <w:t>entered into by a client of one of the presenters in a child sexual abuse case:</w:t>
      </w:r>
    </w:p>
    <w:p w14:paraId="0AEBEDD4" w14:textId="4E7BA862" w:rsidR="00533A35" w:rsidRPr="00255B96" w:rsidRDefault="00533A35" w:rsidP="00255B96">
      <w:pPr>
        <w:spacing w:line="276" w:lineRule="auto"/>
        <w:ind w:left="1080" w:right="1080" w:firstLine="720"/>
        <w:rPr>
          <w:rFonts w:ascii="Times New Roman" w:hAnsi="Times New Roman" w:cs="Times New Roman"/>
        </w:rPr>
      </w:pPr>
      <w:r w:rsidRPr="00255B96">
        <w:rPr>
          <w:rFonts w:ascii="Times New Roman" w:hAnsi="Times New Roman" w:cs="Times New Roman"/>
        </w:rPr>
        <w:t>5.</w:t>
      </w:r>
      <w:r w:rsidRPr="00255B96">
        <w:rPr>
          <w:rFonts w:ascii="Times New Roman" w:hAnsi="Times New Roman" w:cs="Times New Roman"/>
        </w:rPr>
        <w:tab/>
      </w:r>
      <w:r w:rsidRPr="00255B96">
        <w:rPr>
          <w:rFonts w:ascii="Times New Roman" w:hAnsi="Times New Roman" w:cs="Times New Roman"/>
          <w:u w:val="single"/>
        </w:rPr>
        <w:t>Confidentiality.</w:t>
      </w:r>
      <w:r w:rsidRPr="00255B96">
        <w:rPr>
          <w:rFonts w:ascii="Times New Roman" w:hAnsi="Times New Roman" w:cs="Times New Roman"/>
        </w:rPr>
        <w:t xml:space="preserve">  All of the terms of this Settlement Agreement are strictly confidential.  Neither PLAINTIFF nor DEFENDANT, or any of their attorneys, agents, or representatives, may disclose any term of this Settlement Agreement except to immediate family members, significant others, those with whom they have a legally privileged relationship, as required by law, as necessary in connection with reporting to taxing authorities, or as necessary in connection with insurance arrangements.  In addition, DEFENDANT may disclose the terms of the Settlement Agreement to the United States Department of State, if required to do so.  </w:t>
      </w:r>
      <w:r w:rsidRPr="00255B96">
        <w:rPr>
          <w:rFonts w:ascii="Times New Roman" w:hAnsi="Times New Roman" w:cs="Times New Roman"/>
          <w:b/>
          <w:bCs/>
          <w:i/>
          <w:iCs/>
        </w:rPr>
        <w:t>Furthermore, neither PLAINTIFF nor DEFENDANT, including their attorneys, agents, and representatives, may discuss, disclose, or communicate the facts, allegations, evidence, or other information alleged or obtained in this lawsuit except to immediate family members, significant others, those with whom they have a legally privileged relationship, or as required by law.</w:t>
      </w:r>
      <w:r w:rsidRPr="00255B96">
        <w:rPr>
          <w:rFonts w:ascii="Times New Roman" w:hAnsi="Times New Roman" w:cs="Times New Roman"/>
        </w:rPr>
        <w:t xml:space="preserve">  Any person or entity to whom a permitted disclosure of the terms of the Settlement Agreement or the facts, allegations, evidence, or other information alleged or obtained in this lawsuit shall be advised that the disclosed information is confidential and not to be further disclosed.  A party receiving any inquiry about the terms of the Settlement Agreement shall respond, if at all, by stating: “The case was resolved to the mutual satisfaction of the parties.” This confidentiality requirement shall be binding on PLAINTIFF only until September 30, 2016, at which time it shall cease to have any force or effect as to PLAINTIFF only, except that the Settlement Amount shall remain confidential.  </w:t>
      </w:r>
      <w:r w:rsidRPr="00255B96">
        <w:rPr>
          <w:rFonts w:ascii="Times New Roman" w:hAnsi="Times New Roman" w:cs="Times New Roman"/>
          <w:b/>
          <w:bCs/>
          <w:i/>
          <w:iCs/>
        </w:rPr>
        <w:t>This confidentiality requirement shall remain in effect for all others except PLAINTIFF forever</w:t>
      </w:r>
      <w:r w:rsidRPr="00255B96">
        <w:rPr>
          <w:rFonts w:ascii="Times New Roman" w:hAnsi="Times New Roman" w:cs="Times New Roman"/>
          <w:b/>
          <w:bCs/>
        </w:rPr>
        <w:t>.</w:t>
      </w:r>
      <w:r w:rsidRPr="00255B96">
        <w:rPr>
          <w:rFonts w:ascii="Times New Roman" w:hAnsi="Times New Roman" w:cs="Times New Roman"/>
        </w:rPr>
        <w:t xml:space="preserve">  The PARTIES acknowledge that PLAINTIFF’s parents, DAD and MOM, were present during the negotiation of this settlement and the in-chambers memorialization of the terms of this Settlement Agreement by Judge Doe and counsel for the PARTIES, and that they are aware of the settlement terms including this Confidentiality provision.  The PARTIES further acknowledge that future litigation and/or administrative proceedings may occur that arises or arose from the lawsuit this Settlement Agreement resolves. </w:t>
      </w:r>
    </w:p>
    <w:p w14:paraId="2A3EAA13" w14:textId="2BC97706" w:rsidR="00533A35" w:rsidRPr="00255B96" w:rsidRDefault="00533A35" w:rsidP="00255B96">
      <w:pPr>
        <w:spacing w:line="276" w:lineRule="auto"/>
        <w:ind w:left="1080" w:right="1080" w:firstLine="720"/>
        <w:rPr>
          <w:rFonts w:ascii="Times New Roman" w:hAnsi="Times New Roman" w:cs="Times New Roman"/>
        </w:rPr>
      </w:pPr>
      <w:r w:rsidRPr="00255B96">
        <w:rPr>
          <w:rFonts w:ascii="Times New Roman" w:hAnsi="Times New Roman" w:cs="Times New Roman"/>
        </w:rPr>
        <w:lastRenderedPageBreak/>
        <w:t>6.</w:t>
      </w:r>
      <w:r w:rsidRPr="00255B96">
        <w:rPr>
          <w:rFonts w:ascii="Times New Roman" w:hAnsi="Times New Roman" w:cs="Times New Roman"/>
        </w:rPr>
        <w:tab/>
      </w:r>
      <w:r w:rsidRPr="00255B96">
        <w:rPr>
          <w:rFonts w:ascii="Times New Roman" w:hAnsi="Times New Roman" w:cs="Times New Roman"/>
          <w:u w:val="single"/>
        </w:rPr>
        <w:t xml:space="preserve">Liquidated Damages </w:t>
      </w:r>
      <w:proofErr w:type="gramStart"/>
      <w:r w:rsidRPr="00255B96">
        <w:rPr>
          <w:rFonts w:ascii="Times New Roman" w:hAnsi="Times New Roman" w:cs="Times New Roman"/>
          <w:u w:val="single"/>
        </w:rPr>
        <w:t>For</w:t>
      </w:r>
      <w:proofErr w:type="gramEnd"/>
      <w:r w:rsidRPr="00255B96">
        <w:rPr>
          <w:rFonts w:ascii="Times New Roman" w:hAnsi="Times New Roman" w:cs="Times New Roman"/>
          <w:u w:val="single"/>
        </w:rPr>
        <w:t xml:space="preserve"> Breach of Settlement Agreement.</w:t>
      </w:r>
      <w:r w:rsidRPr="00255B96">
        <w:rPr>
          <w:rFonts w:ascii="Times New Roman" w:hAnsi="Times New Roman" w:cs="Times New Roman"/>
        </w:rPr>
        <w:t xml:space="preserve">  Because it is not practicable to quantify the damage that would be caused by breach of the Settlement Agreement, the PARTIES agree that </w:t>
      </w:r>
      <w:r w:rsidRPr="00255B96">
        <w:rPr>
          <w:rFonts w:ascii="Times New Roman" w:hAnsi="Times New Roman" w:cs="Times New Roman"/>
          <w:b/>
          <w:bCs/>
          <w:i/>
          <w:iCs/>
        </w:rPr>
        <w:t xml:space="preserve">any breach of the </w:t>
      </w:r>
      <w:r w:rsidR="00C136E7" w:rsidRPr="00255B96">
        <w:rPr>
          <w:rFonts w:ascii="Times New Roman" w:hAnsi="Times New Roman" w:cs="Times New Roman"/>
          <w:b/>
          <w:bCs/>
          <w:i/>
          <w:iCs/>
        </w:rPr>
        <w:t>S</w:t>
      </w:r>
      <w:r w:rsidRPr="00255B96">
        <w:rPr>
          <w:rFonts w:ascii="Times New Roman" w:hAnsi="Times New Roman" w:cs="Times New Roman"/>
          <w:b/>
          <w:bCs/>
          <w:i/>
          <w:iCs/>
        </w:rPr>
        <w:t>ettlement Agreement shall entitle the non-breaching party to a payment from the breaching party of liquidated damages in the sum of $500,000</w:t>
      </w:r>
      <w:r w:rsidRPr="00255B96">
        <w:rPr>
          <w:rFonts w:ascii="Times New Roman" w:hAnsi="Times New Roman" w:cs="Times New Roman"/>
        </w:rPr>
        <w:t>.  Whether a breach has occurred will be determined pursuant to paragraph C.8.</w:t>
      </w:r>
    </w:p>
    <w:p w14:paraId="00A93197" w14:textId="77777777" w:rsidR="00303421" w:rsidRPr="00255B96" w:rsidRDefault="00C136E7"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rPr>
        <w:t xml:space="preserve">You may wonder, how can this gag order be legal or ethical?  Those are very good questions.  </w:t>
      </w:r>
    </w:p>
    <w:p w14:paraId="2F3B3048" w14:textId="77777777" w:rsidR="00303421" w:rsidRPr="00255B96" w:rsidRDefault="00303421" w:rsidP="00255B96">
      <w:pPr>
        <w:autoSpaceDE w:val="0"/>
        <w:autoSpaceDN w:val="0"/>
        <w:adjustRightInd w:val="0"/>
        <w:spacing w:after="0" w:line="276" w:lineRule="auto"/>
        <w:rPr>
          <w:rFonts w:ascii="Times New Roman" w:hAnsi="Times New Roman" w:cs="Times New Roman"/>
        </w:rPr>
      </w:pPr>
    </w:p>
    <w:p w14:paraId="0BB8FCC3" w14:textId="3CFF8558" w:rsidR="00303421" w:rsidRPr="00255B96" w:rsidRDefault="00303421" w:rsidP="00255B96">
      <w:pPr>
        <w:autoSpaceDE w:val="0"/>
        <w:autoSpaceDN w:val="0"/>
        <w:adjustRightInd w:val="0"/>
        <w:spacing w:after="0" w:line="276" w:lineRule="auto"/>
        <w:jc w:val="center"/>
        <w:rPr>
          <w:rFonts w:ascii="Times New Roman" w:hAnsi="Times New Roman" w:cs="Times New Roman"/>
          <w:b/>
          <w:bCs/>
          <w:u w:val="single"/>
        </w:rPr>
      </w:pPr>
      <w:r w:rsidRPr="00255B96">
        <w:rPr>
          <w:rFonts w:ascii="Times New Roman" w:hAnsi="Times New Roman" w:cs="Times New Roman"/>
          <w:b/>
          <w:bCs/>
          <w:u w:val="single"/>
        </w:rPr>
        <w:t>Civil Law Considerations</w:t>
      </w:r>
    </w:p>
    <w:p w14:paraId="31AB6659" w14:textId="77777777" w:rsidR="00303421" w:rsidRPr="00255B96" w:rsidRDefault="00303421" w:rsidP="00255B96">
      <w:pPr>
        <w:autoSpaceDE w:val="0"/>
        <w:autoSpaceDN w:val="0"/>
        <w:adjustRightInd w:val="0"/>
        <w:spacing w:after="0" w:line="276" w:lineRule="auto"/>
        <w:rPr>
          <w:rFonts w:ascii="Times New Roman" w:hAnsi="Times New Roman" w:cs="Times New Roman"/>
          <w:u w:val="single"/>
        </w:rPr>
      </w:pPr>
    </w:p>
    <w:p w14:paraId="1AF299CF" w14:textId="24EF0ABD" w:rsidR="00C136E7" w:rsidRPr="00255B96" w:rsidRDefault="00C136E7"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rPr>
        <w:t xml:space="preserve">The defendant was a California </w:t>
      </w:r>
      <w:r w:rsidR="007A0419" w:rsidRPr="00255B96">
        <w:rPr>
          <w:rFonts w:ascii="Times New Roman" w:hAnsi="Times New Roman" w:cs="Times New Roman"/>
        </w:rPr>
        <w:t xml:space="preserve">nonprofit </w:t>
      </w:r>
      <w:r w:rsidRPr="00255B96">
        <w:rPr>
          <w:rFonts w:ascii="Times New Roman" w:hAnsi="Times New Roman" w:cs="Times New Roman"/>
        </w:rPr>
        <w:t>corporation, and California law provides:</w:t>
      </w:r>
    </w:p>
    <w:p w14:paraId="65E3C82F" w14:textId="77777777" w:rsidR="00C136E7" w:rsidRPr="00255B96" w:rsidRDefault="00C136E7" w:rsidP="00255B96">
      <w:pPr>
        <w:autoSpaceDE w:val="0"/>
        <w:autoSpaceDN w:val="0"/>
        <w:adjustRightInd w:val="0"/>
        <w:spacing w:after="0" w:line="276" w:lineRule="auto"/>
        <w:rPr>
          <w:rFonts w:ascii="Times New Roman" w:hAnsi="Times New Roman" w:cs="Times New Roman"/>
        </w:rPr>
      </w:pPr>
    </w:p>
    <w:p w14:paraId="5244BF74" w14:textId="02EEC235" w:rsidR="00C136E7" w:rsidRPr="00255B96" w:rsidRDefault="00C136E7" w:rsidP="00255B96">
      <w:pPr>
        <w:pStyle w:val="FootnoteText"/>
        <w:spacing w:line="276" w:lineRule="auto"/>
        <w:ind w:left="1080" w:right="1080"/>
        <w:rPr>
          <w:rFonts w:ascii="Times New Roman" w:hAnsi="Times New Roman" w:cs="Times New Roman"/>
          <w:sz w:val="22"/>
          <w:szCs w:val="22"/>
        </w:rPr>
      </w:pPr>
      <w:r w:rsidRPr="00255B96">
        <w:rPr>
          <w:rFonts w:ascii="Times New Roman" w:hAnsi="Times New Roman" w:cs="Times New Roman"/>
          <w:sz w:val="22"/>
          <w:szCs w:val="22"/>
        </w:rPr>
        <w:t>(a) Notwithstanding any other provision of law, a confidential settlement agreement is prohibited in any civil action the factual foundation for which establishes a cause of action for civil damages for an act that may be prosecuted as a felony sex offense.</w:t>
      </w:r>
    </w:p>
    <w:p w14:paraId="3271B89B" w14:textId="77777777" w:rsidR="00C136E7" w:rsidRPr="00255B96" w:rsidRDefault="00C136E7" w:rsidP="00255B96">
      <w:pPr>
        <w:pStyle w:val="NormalWeb"/>
        <w:spacing w:line="276" w:lineRule="auto"/>
        <w:ind w:left="1080" w:right="1080"/>
        <w:rPr>
          <w:sz w:val="22"/>
          <w:szCs w:val="22"/>
        </w:rPr>
      </w:pPr>
      <w:r w:rsidRPr="00255B96">
        <w:rPr>
          <w:sz w:val="22"/>
          <w:szCs w:val="22"/>
        </w:rPr>
        <w:t>(b) Subdivision (a) does not preclude an agreement preventing the defendant or any person acting on his or her behalf from disclosing any medical information or personal identifying information, as defined in subdivision (b) of Section 530.5 of the Penal Code, regarding the victim of the felony sex offense or of any information revealing the nature of the relationship between the victim and the defendant. This subdivision shall not be construed to limit the right of a crime victim to disclose this information.</w:t>
      </w:r>
    </w:p>
    <w:p w14:paraId="4FC3E8A0" w14:textId="1C9D173D" w:rsidR="00C136E7" w:rsidRPr="00255B96" w:rsidRDefault="00C136E7" w:rsidP="00255B96">
      <w:pPr>
        <w:pStyle w:val="NormalWeb"/>
        <w:spacing w:line="276" w:lineRule="auto"/>
        <w:ind w:left="1080" w:right="1080"/>
        <w:rPr>
          <w:sz w:val="22"/>
          <w:szCs w:val="22"/>
        </w:rPr>
      </w:pPr>
      <w:r w:rsidRPr="00255B96">
        <w:rPr>
          <w:sz w:val="22"/>
          <w:szCs w:val="22"/>
        </w:rPr>
        <w:t>(c) Subdivision (a) does not apply to or affect the ability of the parties to enter into a settlement agreement or stipulated agreement that requires the nondisclosure of the amount of any money paid in a settlement of a claim.</w:t>
      </w:r>
    </w:p>
    <w:p w14:paraId="6ACA905C" w14:textId="473FFD0C" w:rsidR="00700C92" w:rsidRPr="00255B96" w:rsidRDefault="00C136E7"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rPr>
        <w:t>Cal. Civ. Pro. Code § 1002.  But the settlement was of claims brought in an Oregon case, and the provision above governs civil procedure in California state courts, so it was not binding</w:t>
      </w:r>
      <w:r w:rsidR="00700C92" w:rsidRPr="00255B96">
        <w:rPr>
          <w:rFonts w:ascii="Times New Roman" w:hAnsi="Times New Roman" w:cs="Times New Roman"/>
        </w:rPr>
        <w:t xml:space="preserve"> on the parties to the settlement, and Oregon has no equivalent law.</w:t>
      </w:r>
    </w:p>
    <w:p w14:paraId="7CDB90D8" w14:textId="0E50A65B" w:rsidR="007A0419" w:rsidRPr="00255B96" w:rsidRDefault="007A0419" w:rsidP="00255B96">
      <w:pPr>
        <w:autoSpaceDE w:val="0"/>
        <w:autoSpaceDN w:val="0"/>
        <w:adjustRightInd w:val="0"/>
        <w:spacing w:after="0" w:line="276" w:lineRule="auto"/>
        <w:rPr>
          <w:rFonts w:ascii="Times New Roman" w:hAnsi="Times New Roman" w:cs="Times New Roman"/>
        </w:rPr>
      </w:pPr>
    </w:p>
    <w:p w14:paraId="470ABC83" w14:textId="01376AD3" w:rsidR="007A0419" w:rsidRPr="00255B96" w:rsidRDefault="007A0419"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rPr>
        <w:t>Oregon’s only prohibition against secret settlements is for those by public bodies:</w:t>
      </w:r>
    </w:p>
    <w:p w14:paraId="4609E1FD" w14:textId="042F8FBD" w:rsidR="007A0419" w:rsidRPr="00255B96" w:rsidRDefault="007A0419" w:rsidP="00255B96">
      <w:pPr>
        <w:autoSpaceDE w:val="0"/>
        <w:autoSpaceDN w:val="0"/>
        <w:adjustRightInd w:val="0"/>
        <w:spacing w:after="0" w:line="276" w:lineRule="auto"/>
        <w:rPr>
          <w:rFonts w:ascii="Times New Roman" w:hAnsi="Times New Roman" w:cs="Times New Roman"/>
          <w:color w:val="000000" w:themeColor="text1"/>
        </w:rPr>
      </w:pPr>
    </w:p>
    <w:p w14:paraId="6BE83D15" w14:textId="42185172" w:rsidR="007A0419" w:rsidRPr="00255B96" w:rsidRDefault="007A0419" w:rsidP="00255B96">
      <w:pPr>
        <w:spacing w:line="276" w:lineRule="auto"/>
        <w:ind w:left="1080" w:right="1080"/>
        <w:rPr>
          <w:rFonts w:ascii="Times New Roman" w:hAnsi="Times New Roman" w:cs="Times New Roman"/>
          <w:color w:val="000000" w:themeColor="text1"/>
        </w:rPr>
      </w:pPr>
      <w:r w:rsidRPr="00255B96">
        <w:rPr>
          <w:rStyle w:val="ssbf"/>
          <w:rFonts w:ascii="Times New Roman" w:hAnsi="Times New Roman" w:cs="Times New Roman"/>
          <w:color w:val="000000" w:themeColor="text1"/>
        </w:rPr>
        <w:t>(1)</w:t>
      </w:r>
      <w:r w:rsidRPr="00255B96">
        <w:rPr>
          <w:rStyle w:val="ssparalabel"/>
          <w:rFonts w:ascii="Times New Roman" w:hAnsi="Times New Roman" w:cs="Times New Roman"/>
          <w:color w:val="000000" w:themeColor="text1"/>
        </w:rPr>
        <w:t> </w:t>
      </w:r>
      <w:r w:rsidRPr="00255B96">
        <w:rPr>
          <w:rStyle w:val="ssparacontent"/>
          <w:rFonts w:ascii="Times New Roman" w:hAnsi="Times New Roman" w:cs="Times New Roman"/>
          <w:color w:val="000000" w:themeColor="text1"/>
        </w:rPr>
        <w:t xml:space="preserve">A public body, or officer, employee or agent of a public body, who is a defendant in an action under </w:t>
      </w:r>
      <w:hyperlink r:id="rId4" w:history="1">
        <w:r w:rsidRPr="00255B96">
          <w:rPr>
            <w:rStyle w:val="Hyperlink"/>
            <w:rFonts w:ascii="Times New Roman" w:hAnsi="Times New Roman" w:cs="Times New Roman"/>
            <w:color w:val="000000" w:themeColor="text1"/>
            <w:u w:val="none"/>
          </w:rPr>
          <w:t>ORS 30.260</w:t>
        </w:r>
      </w:hyperlink>
      <w:r w:rsidRPr="00255B96">
        <w:rPr>
          <w:rStyle w:val="ssparacontent"/>
          <w:rFonts w:ascii="Times New Roman" w:hAnsi="Times New Roman" w:cs="Times New Roman"/>
          <w:color w:val="000000" w:themeColor="text1"/>
        </w:rPr>
        <w:t xml:space="preserve"> to </w:t>
      </w:r>
      <w:hyperlink r:id="rId5" w:history="1">
        <w:r w:rsidRPr="00255B96">
          <w:rPr>
            <w:rStyle w:val="Hyperlink"/>
            <w:rFonts w:ascii="Times New Roman" w:hAnsi="Times New Roman" w:cs="Times New Roman"/>
            <w:color w:val="000000" w:themeColor="text1"/>
            <w:u w:val="none"/>
          </w:rPr>
          <w:t>30.300</w:t>
        </w:r>
      </w:hyperlink>
      <w:r w:rsidRPr="00255B96">
        <w:rPr>
          <w:rStyle w:val="ssparacontent"/>
          <w:rFonts w:ascii="Times New Roman" w:hAnsi="Times New Roman" w:cs="Times New Roman"/>
          <w:color w:val="000000" w:themeColor="text1"/>
        </w:rPr>
        <w:t xml:space="preserve">, or who is a defendant in an action under </w:t>
      </w:r>
      <w:hyperlink r:id="rId6" w:history="1">
        <w:r w:rsidRPr="00255B96">
          <w:rPr>
            <w:rStyle w:val="Hyperlink"/>
            <w:rFonts w:ascii="Times New Roman" w:hAnsi="Times New Roman" w:cs="Times New Roman"/>
            <w:color w:val="000000" w:themeColor="text1"/>
            <w:u w:val="none"/>
          </w:rPr>
          <w:t>ORS 294.100</w:t>
        </w:r>
      </w:hyperlink>
      <w:r w:rsidRPr="00255B96">
        <w:rPr>
          <w:rStyle w:val="ssparacontent"/>
          <w:rFonts w:ascii="Times New Roman" w:hAnsi="Times New Roman" w:cs="Times New Roman"/>
          <w:color w:val="000000" w:themeColor="text1"/>
        </w:rPr>
        <w:t>, may not enter into any settlement or compromise of the action if the settlement or compromise requires that the terms or conditions of the settlement or compromise be confidential.</w:t>
      </w:r>
    </w:p>
    <w:p w14:paraId="477C3DD3" w14:textId="77777777" w:rsidR="007A0419" w:rsidRPr="00255B96" w:rsidRDefault="007A0419" w:rsidP="00255B96">
      <w:pPr>
        <w:spacing w:line="276" w:lineRule="auto"/>
        <w:ind w:left="1080" w:right="1080"/>
        <w:rPr>
          <w:rStyle w:val="ssparacontent"/>
          <w:rFonts w:ascii="Times New Roman" w:hAnsi="Times New Roman" w:cs="Times New Roman"/>
          <w:color w:val="000000" w:themeColor="text1"/>
        </w:rPr>
      </w:pPr>
      <w:r w:rsidRPr="00255B96">
        <w:rPr>
          <w:rStyle w:val="ssbf"/>
          <w:rFonts w:ascii="Times New Roman" w:hAnsi="Times New Roman" w:cs="Times New Roman"/>
          <w:color w:val="000000" w:themeColor="text1"/>
        </w:rPr>
        <w:t>(2)</w:t>
      </w:r>
      <w:r w:rsidRPr="00255B96">
        <w:rPr>
          <w:rStyle w:val="ssparalabel"/>
          <w:rFonts w:ascii="Times New Roman" w:hAnsi="Times New Roman" w:cs="Times New Roman"/>
          <w:color w:val="000000" w:themeColor="text1"/>
        </w:rPr>
        <w:t> </w:t>
      </w:r>
      <w:r w:rsidRPr="00255B96">
        <w:rPr>
          <w:rStyle w:val="ssparacontent"/>
          <w:rFonts w:ascii="Times New Roman" w:hAnsi="Times New Roman" w:cs="Times New Roman"/>
          <w:color w:val="000000" w:themeColor="text1"/>
        </w:rPr>
        <w:t>Notwithstanding subsection (1) of this section:</w:t>
      </w:r>
    </w:p>
    <w:p w14:paraId="045C9069" w14:textId="77777777" w:rsidR="007A0419" w:rsidRPr="00255B96" w:rsidRDefault="007A0419" w:rsidP="00255B96">
      <w:pPr>
        <w:spacing w:line="276" w:lineRule="auto"/>
        <w:ind w:left="1440" w:right="1080"/>
        <w:rPr>
          <w:rFonts w:ascii="Times New Roman" w:hAnsi="Times New Roman" w:cs="Times New Roman"/>
          <w:color w:val="000000" w:themeColor="text1"/>
        </w:rPr>
      </w:pPr>
      <w:r w:rsidRPr="00255B96">
        <w:rPr>
          <w:rStyle w:val="ssbf"/>
          <w:rFonts w:ascii="Times New Roman" w:hAnsi="Times New Roman" w:cs="Times New Roman"/>
          <w:color w:val="000000" w:themeColor="text1"/>
        </w:rPr>
        <w:t>(a)</w:t>
      </w:r>
      <w:r w:rsidRPr="00255B96">
        <w:rPr>
          <w:rStyle w:val="ssparalabel"/>
          <w:rFonts w:ascii="Times New Roman" w:hAnsi="Times New Roman" w:cs="Times New Roman"/>
          <w:color w:val="000000" w:themeColor="text1"/>
        </w:rPr>
        <w:t> </w:t>
      </w:r>
      <w:r w:rsidRPr="00255B96">
        <w:rPr>
          <w:rStyle w:val="ssparacontent"/>
          <w:rFonts w:ascii="Times New Roman" w:hAnsi="Times New Roman" w:cs="Times New Roman"/>
          <w:color w:val="000000" w:themeColor="text1"/>
        </w:rPr>
        <w:t xml:space="preserve">A public body, or officer, employee or agent of a public body, may enter into a settlement or compromise that requires the terms or conditions to be </w:t>
      </w:r>
      <w:r w:rsidRPr="00255B96">
        <w:rPr>
          <w:rStyle w:val="ssparacontent"/>
          <w:rFonts w:ascii="Times New Roman" w:hAnsi="Times New Roman" w:cs="Times New Roman"/>
          <w:color w:val="000000" w:themeColor="text1"/>
        </w:rPr>
        <w:lastRenderedPageBreak/>
        <w:t>confidential if federal law requires terms or conditions of that settlement or compromise to be confidential. Only terms and conditions that are required to be confidential under federal law may be confidential in the settlement or compromise.</w:t>
      </w:r>
    </w:p>
    <w:p w14:paraId="6E1CCDEE" w14:textId="77777777" w:rsidR="007A0419" w:rsidRPr="00255B96" w:rsidRDefault="007A0419" w:rsidP="00255B96">
      <w:pPr>
        <w:spacing w:line="276" w:lineRule="auto"/>
        <w:ind w:left="1440" w:right="1080"/>
        <w:rPr>
          <w:rStyle w:val="ssparacontent"/>
          <w:rFonts w:ascii="Times New Roman" w:hAnsi="Times New Roman" w:cs="Times New Roman"/>
          <w:color w:val="000000" w:themeColor="text1"/>
        </w:rPr>
      </w:pPr>
      <w:r w:rsidRPr="00255B96">
        <w:rPr>
          <w:rStyle w:val="ssbf"/>
          <w:rFonts w:ascii="Times New Roman" w:hAnsi="Times New Roman" w:cs="Times New Roman"/>
          <w:color w:val="000000" w:themeColor="text1"/>
        </w:rPr>
        <w:t>(b)</w:t>
      </w:r>
      <w:r w:rsidRPr="00255B96">
        <w:rPr>
          <w:rStyle w:val="ssparalabel"/>
          <w:rFonts w:ascii="Times New Roman" w:hAnsi="Times New Roman" w:cs="Times New Roman"/>
          <w:color w:val="000000" w:themeColor="text1"/>
        </w:rPr>
        <w:t> </w:t>
      </w:r>
      <w:r w:rsidRPr="00255B96">
        <w:rPr>
          <w:rStyle w:val="ssparacontent"/>
          <w:rFonts w:ascii="Times New Roman" w:hAnsi="Times New Roman" w:cs="Times New Roman"/>
          <w:color w:val="000000" w:themeColor="text1"/>
        </w:rPr>
        <w:t>A court may order that the terms or conditions of a settlement or compromise that reveal the identity of a person be confidential if:</w:t>
      </w:r>
    </w:p>
    <w:p w14:paraId="62150FBB" w14:textId="77777777" w:rsidR="007A0419" w:rsidRPr="00255B96" w:rsidRDefault="007A0419" w:rsidP="00255B96">
      <w:pPr>
        <w:spacing w:line="276" w:lineRule="auto"/>
        <w:ind w:left="2160" w:right="1080"/>
        <w:rPr>
          <w:rFonts w:ascii="Times New Roman" w:hAnsi="Times New Roman" w:cs="Times New Roman"/>
          <w:color w:val="000000" w:themeColor="text1"/>
        </w:rPr>
      </w:pPr>
      <w:r w:rsidRPr="00255B96">
        <w:rPr>
          <w:rStyle w:val="ssbf"/>
          <w:rFonts w:ascii="Times New Roman" w:hAnsi="Times New Roman" w:cs="Times New Roman"/>
          <w:color w:val="000000" w:themeColor="text1"/>
        </w:rPr>
        <w:t>(A)</w:t>
      </w:r>
      <w:r w:rsidRPr="00255B96">
        <w:rPr>
          <w:rStyle w:val="ssparalabel"/>
          <w:rFonts w:ascii="Times New Roman" w:hAnsi="Times New Roman" w:cs="Times New Roman"/>
          <w:color w:val="000000" w:themeColor="text1"/>
        </w:rPr>
        <w:t> </w:t>
      </w:r>
      <w:r w:rsidRPr="00255B96">
        <w:rPr>
          <w:rStyle w:val="ssparacontent"/>
          <w:rFonts w:ascii="Times New Roman" w:hAnsi="Times New Roman" w:cs="Times New Roman"/>
          <w:color w:val="000000" w:themeColor="text1"/>
        </w:rPr>
        <w:t>The person whose identity is revealed is a victim of sexual abuse or is under 18 years of age; and</w:t>
      </w:r>
    </w:p>
    <w:p w14:paraId="5D0964E7" w14:textId="77777777" w:rsidR="007A0419" w:rsidRPr="00255B96" w:rsidRDefault="007A0419" w:rsidP="00255B96">
      <w:pPr>
        <w:spacing w:line="276" w:lineRule="auto"/>
        <w:ind w:left="2160" w:right="1080"/>
        <w:rPr>
          <w:rFonts w:ascii="Times New Roman" w:hAnsi="Times New Roman" w:cs="Times New Roman"/>
          <w:color w:val="000000" w:themeColor="text1"/>
        </w:rPr>
      </w:pPr>
      <w:r w:rsidRPr="00255B96">
        <w:rPr>
          <w:rStyle w:val="ssbf"/>
          <w:rFonts w:ascii="Times New Roman" w:hAnsi="Times New Roman" w:cs="Times New Roman"/>
          <w:color w:val="000000" w:themeColor="text1"/>
        </w:rPr>
        <w:t>(B)</w:t>
      </w:r>
      <w:r w:rsidRPr="00255B96">
        <w:rPr>
          <w:rStyle w:val="ssparalabel"/>
          <w:rFonts w:ascii="Times New Roman" w:hAnsi="Times New Roman" w:cs="Times New Roman"/>
          <w:color w:val="000000" w:themeColor="text1"/>
        </w:rPr>
        <w:t> </w:t>
      </w:r>
      <w:r w:rsidRPr="00255B96">
        <w:rPr>
          <w:rStyle w:val="ssparacontent"/>
          <w:rFonts w:ascii="Times New Roman" w:hAnsi="Times New Roman" w:cs="Times New Roman"/>
          <w:color w:val="000000" w:themeColor="text1"/>
        </w:rPr>
        <w:t>The court determines, by written findings, that the specific privacy interests of the person outweigh the public’s interest in the terms or conditions.</w:t>
      </w:r>
    </w:p>
    <w:p w14:paraId="4C70E84E" w14:textId="77777777" w:rsidR="007A0419" w:rsidRPr="00255B96" w:rsidRDefault="007A0419" w:rsidP="00255B96">
      <w:pPr>
        <w:spacing w:line="276" w:lineRule="auto"/>
        <w:ind w:left="1080" w:right="1080"/>
        <w:rPr>
          <w:rFonts w:ascii="Times New Roman" w:hAnsi="Times New Roman" w:cs="Times New Roman"/>
          <w:color w:val="000000" w:themeColor="text1"/>
        </w:rPr>
      </w:pPr>
      <w:r w:rsidRPr="00255B96">
        <w:rPr>
          <w:rStyle w:val="ssbf"/>
          <w:rFonts w:ascii="Times New Roman" w:hAnsi="Times New Roman" w:cs="Times New Roman"/>
          <w:color w:val="000000" w:themeColor="text1"/>
        </w:rPr>
        <w:t>(3)</w:t>
      </w:r>
      <w:r w:rsidRPr="00255B96">
        <w:rPr>
          <w:rStyle w:val="ssparalabel"/>
          <w:rFonts w:ascii="Times New Roman" w:hAnsi="Times New Roman" w:cs="Times New Roman"/>
          <w:color w:val="000000" w:themeColor="text1"/>
        </w:rPr>
        <w:t> </w:t>
      </w:r>
      <w:r w:rsidRPr="00255B96">
        <w:rPr>
          <w:rStyle w:val="ssparacontent"/>
          <w:rFonts w:ascii="Times New Roman" w:hAnsi="Times New Roman" w:cs="Times New Roman"/>
          <w:color w:val="000000" w:themeColor="text1"/>
        </w:rPr>
        <w:t xml:space="preserve">Any public body, or officer, employee or agent of a public body, who is a defendant in an action under </w:t>
      </w:r>
      <w:hyperlink r:id="rId7" w:history="1">
        <w:r w:rsidRPr="00255B96">
          <w:rPr>
            <w:rStyle w:val="Hyperlink"/>
            <w:rFonts w:ascii="Times New Roman" w:hAnsi="Times New Roman" w:cs="Times New Roman"/>
            <w:color w:val="000000" w:themeColor="text1"/>
            <w:u w:val="none"/>
          </w:rPr>
          <w:t>ORS 30.260</w:t>
        </w:r>
      </w:hyperlink>
      <w:r w:rsidRPr="00255B96">
        <w:rPr>
          <w:rStyle w:val="ssparacontent"/>
          <w:rFonts w:ascii="Times New Roman" w:hAnsi="Times New Roman" w:cs="Times New Roman"/>
          <w:color w:val="000000" w:themeColor="text1"/>
        </w:rPr>
        <w:t xml:space="preserve"> to </w:t>
      </w:r>
      <w:hyperlink r:id="rId8" w:history="1">
        <w:r w:rsidRPr="00255B96">
          <w:rPr>
            <w:rStyle w:val="Hyperlink"/>
            <w:rFonts w:ascii="Times New Roman" w:hAnsi="Times New Roman" w:cs="Times New Roman"/>
            <w:color w:val="000000" w:themeColor="text1"/>
            <w:u w:val="none"/>
          </w:rPr>
          <w:t>30.300</w:t>
        </w:r>
      </w:hyperlink>
      <w:r w:rsidRPr="00255B96">
        <w:rPr>
          <w:rStyle w:val="ssparacontent"/>
          <w:rFonts w:ascii="Times New Roman" w:hAnsi="Times New Roman" w:cs="Times New Roman"/>
          <w:color w:val="000000" w:themeColor="text1"/>
        </w:rPr>
        <w:t xml:space="preserve">, or who is a defendant in an action under </w:t>
      </w:r>
      <w:hyperlink r:id="rId9" w:history="1">
        <w:r w:rsidRPr="00255B96">
          <w:rPr>
            <w:rStyle w:val="Hyperlink"/>
            <w:rFonts w:ascii="Times New Roman" w:hAnsi="Times New Roman" w:cs="Times New Roman"/>
            <w:color w:val="000000" w:themeColor="text1"/>
            <w:u w:val="none"/>
          </w:rPr>
          <w:t>ORS 294.100</w:t>
        </w:r>
      </w:hyperlink>
      <w:r w:rsidRPr="00255B96">
        <w:rPr>
          <w:rStyle w:val="ssparacontent"/>
          <w:rFonts w:ascii="Times New Roman" w:hAnsi="Times New Roman" w:cs="Times New Roman"/>
          <w:color w:val="000000" w:themeColor="text1"/>
        </w:rPr>
        <w:t>, shall file with the court a full and complete disclosure of the terms and conditions of any settlement or compromise of the claims against the public body, its officers, employees or agents. The disclosure shall be filed prior to the dismissal of the action.</w:t>
      </w:r>
    </w:p>
    <w:p w14:paraId="228CD1E1" w14:textId="77777777" w:rsidR="007A0419" w:rsidRPr="00255B96" w:rsidRDefault="007A0419" w:rsidP="00255B96">
      <w:pPr>
        <w:spacing w:line="276" w:lineRule="auto"/>
        <w:ind w:left="1080" w:right="1080"/>
        <w:rPr>
          <w:rStyle w:val="ssparacontent"/>
          <w:rFonts w:ascii="Times New Roman" w:hAnsi="Times New Roman" w:cs="Times New Roman"/>
          <w:color w:val="000000" w:themeColor="text1"/>
        </w:rPr>
      </w:pPr>
      <w:r w:rsidRPr="00255B96">
        <w:rPr>
          <w:rStyle w:val="ssbf"/>
          <w:rFonts w:ascii="Times New Roman" w:hAnsi="Times New Roman" w:cs="Times New Roman"/>
          <w:color w:val="000000" w:themeColor="text1"/>
        </w:rPr>
        <w:t>(4)</w:t>
      </w:r>
      <w:r w:rsidRPr="00255B96">
        <w:rPr>
          <w:rStyle w:val="ssparalabel"/>
          <w:rFonts w:ascii="Times New Roman" w:hAnsi="Times New Roman" w:cs="Times New Roman"/>
          <w:color w:val="000000" w:themeColor="text1"/>
        </w:rPr>
        <w:t> </w:t>
      </w:r>
      <w:r w:rsidRPr="00255B96">
        <w:rPr>
          <w:rStyle w:val="ssparacontent"/>
          <w:rFonts w:ascii="Times New Roman" w:hAnsi="Times New Roman" w:cs="Times New Roman"/>
          <w:color w:val="000000" w:themeColor="text1"/>
        </w:rPr>
        <w:t>For the purposes of this section:</w:t>
      </w:r>
    </w:p>
    <w:p w14:paraId="0F5C5A8A" w14:textId="77777777" w:rsidR="007A0419" w:rsidRPr="00255B96" w:rsidRDefault="007A0419" w:rsidP="00255B96">
      <w:pPr>
        <w:spacing w:line="276" w:lineRule="auto"/>
        <w:ind w:left="1440" w:right="1080"/>
        <w:rPr>
          <w:rFonts w:ascii="Times New Roman" w:hAnsi="Times New Roman" w:cs="Times New Roman"/>
          <w:color w:val="000000" w:themeColor="text1"/>
        </w:rPr>
      </w:pPr>
      <w:r w:rsidRPr="00255B96">
        <w:rPr>
          <w:rStyle w:val="ssbf"/>
          <w:rFonts w:ascii="Times New Roman" w:hAnsi="Times New Roman" w:cs="Times New Roman"/>
          <w:color w:val="000000" w:themeColor="text1"/>
        </w:rPr>
        <w:t>(a)</w:t>
      </w:r>
      <w:r w:rsidRPr="00255B96">
        <w:rPr>
          <w:rStyle w:val="ssparalabel"/>
          <w:rFonts w:ascii="Times New Roman" w:hAnsi="Times New Roman" w:cs="Times New Roman"/>
          <w:color w:val="000000" w:themeColor="text1"/>
        </w:rPr>
        <w:t> </w:t>
      </w:r>
      <w:r w:rsidRPr="00255B96">
        <w:rPr>
          <w:rStyle w:val="ssparacontent"/>
          <w:rFonts w:ascii="Times New Roman" w:hAnsi="Times New Roman" w:cs="Times New Roman"/>
          <w:color w:val="000000" w:themeColor="text1"/>
        </w:rPr>
        <w:t xml:space="preserve">“Action” means a legal proceeding that has been commenced as provided in </w:t>
      </w:r>
      <w:hyperlink r:id="rId10" w:history="1">
        <w:r w:rsidRPr="00255B96">
          <w:rPr>
            <w:rStyle w:val="Hyperlink"/>
            <w:rFonts w:ascii="Times New Roman" w:hAnsi="Times New Roman" w:cs="Times New Roman"/>
            <w:color w:val="000000" w:themeColor="text1"/>
            <w:u w:val="none"/>
          </w:rPr>
          <w:t>ORCP 3</w:t>
        </w:r>
      </w:hyperlink>
      <w:r w:rsidRPr="00255B96">
        <w:rPr>
          <w:rStyle w:val="ssparacontent"/>
          <w:rFonts w:ascii="Times New Roman" w:hAnsi="Times New Roman" w:cs="Times New Roman"/>
          <w:color w:val="000000" w:themeColor="text1"/>
        </w:rPr>
        <w:t>; and</w:t>
      </w:r>
    </w:p>
    <w:p w14:paraId="650A23A4" w14:textId="06446093" w:rsidR="007A0419" w:rsidRPr="00255B96" w:rsidRDefault="007A0419" w:rsidP="00255B96">
      <w:pPr>
        <w:spacing w:line="276" w:lineRule="auto"/>
        <w:ind w:left="1440" w:right="1080"/>
        <w:rPr>
          <w:rStyle w:val="ssparacontent"/>
          <w:rFonts w:ascii="Times New Roman" w:hAnsi="Times New Roman" w:cs="Times New Roman"/>
          <w:color w:val="000000" w:themeColor="text1"/>
        </w:rPr>
      </w:pPr>
      <w:r w:rsidRPr="00255B96">
        <w:rPr>
          <w:rStyle w:val="ssbf"/>
          <w:rFonts w:ascii="Times New Roman" w:hAnsi="Times New Roman" w:cs="Times New Roman"/>
          <w:color w:val="000000" w:themeColor="text1"/>
        </w:rPr>
        <w:t>(b)</w:t>
      </w:r>
      <w:r w:rsidRPr="00255B96">
        <w:rPr>
          <w:rStyle w:val="ssparalabel"/>
          <w:rFonts w:ascii="Times New Roman" w:hAnsi="Times New Roman" w:cs="Times New Roman"/>
          <w:color w:val="000000" w:themeColor="text1"/>
        </w:rPr>
        <w:t> </w:t>
      </w:r>
      <w:r w:rsidRPr="00255B96">
        <w:rPr>
          <w:rStyle w:val="ssparacontent"/>
          <w:rFonts w:ascii="Times New Roman" w:hAnsi="Times New Roman" w:cs="Times New Roman"/>
          <w:color w:val="000000" w:themeColor="text1"/>
        </w:rPr>
        <w:t xml:space="preserve">“Public body” has that meaning given in </w:t>
      </w:r>
      <w:hyperlink r:id="rId11" w:history="1">
        <w:r w:rsidRPr="00255B96">
          <w:rPr>
            <w:rStyle w:val="Hyperlink"/>
            <w:rFonts w:ascii="Times New Roman" w:hAnsi="Times New Roman" w:cs="Times New Roman"/>
            <w:color w:val="000000" w:themeColor="text1"/>
            <w:u w:val="none"/>
          </w:rPr>
          <w:t>ORS 30.260</w:t>
        </w:r>
      </w:hyperlink>
      <w:r w:rsidRPr="00255B96">
        <w:rPr>
          <w:rStyle w:val="ssparacontent"/>
          <w:rFonts w:ascii="Times New Roman" w:hAnsi="Times New Roman" w:cs="Times New Roman"/>
          <w:color w:val="000000" w:themeColor="text1"/>
        </w:rPr>
        <w:t>.</w:t>
      </w:r>
    </w:p>
    <w:p w14:paraId="083996B0" w14:textId="57E49F56" w:rsidR="007A0419" w:rsidRPr="00255B96" w:rsidRDefault="007A0419" w:rsidP="00255B96">
      <w:pPr>
        <w:spacing w:line="276" w:lineRule="auto"/>
        <w:ind w:right="1080"/>
        <w:rPr>
          <w:rFonts w:ascii="Times New Roman" w:hAnsi="Times New Roman" w:cs="Times New Roman"/>
          <w:color w:val="000000" w:themeColor="text1"/>
        </w:rPr>
      </w:pPr>
      <w:r w:rsidRPr="00255B96">
        <w:rPr>
          <w:rStyle w:val="ssparacontent"/>
          <w:rFonts w:ascii="Times New Roman" w:hAnsi="Times New Roman" w:cs="Times New Roman"/>
          <w:color w:val="000000" w:themeColor="text1"/>
        </w:rPr>
        <w:t>ORS 17.095.  While some nonprofits qualify as “public bodies,” the California nonprofit</w:t>
      </w:r>
      <w:r w:rsidR="00FE4775" w:rsidRPr="00255B96">
        <w:rPr>
          <w:rStyle w:val="ssparacontent"/>
          <w:rFonts w:ascii="Times New Roman" w:hAnsi="Times New Roman" w:cs="Times New Roman"/>
          <w:color w:val="000000" w:themeColor="text1"/>
        </w:rPr>
        <w:t xml:space="preserve"> being sued in our case did not.</w:t>
      </w:r>
      <w:r w:rsidRPr="00255B96">
        <w:rPr>
          <w:rStyle w:val="ssparacontent"/>
          <w:rFonts w:ascii="Times New Roman" w:hAnsi="Times New Roman" w:cs="Times New Roman"/>
          <w:color w:val="000000" w:themeColor="text1"/>
        </w:rPr>
        <w:t xml:space="preserve">  </w:t>
      </w:r>
    </w:p>
    <w:p w14:paraId="53411587" w14:textId="394895E6" w:rsidR="00303421" w:rsidRPr="00255B96" w:rsidRDefault="00303421" w:rsidP="00255B96">
      <w:pPr>
        <w:autoSpaceDE w:val="0"/>
        <w:autoSpaceDN w:val="0"/>
        <w:adjustRightInd w:val="0"/>
        <w:spacing w:after="0" w:line="276" w:lineRule="auto"/>
        <w:jc w:val="center"/>
        <w:rPr>
          <w:rFonts w:ascii="Times New Roman" w:hAnsi="Times New Roman" w:cs="Times New Roman"/>
          <w:b/>
          <w:bCs/>
          <w:u w:val="single"/>
        </w:rPr>
      </w:pPr>
      <w:r w:rsidRPr="00255B96">
        <w:rPr>
          <w:rFonts w:ascii="Times New Roman" w:hAnsi="Times New Roman" w:cs="Times New Roman"/>
          <w:b/>
          <w:bCs/>
          <w:u w:val="single"/>
        </w:rPr>
        <w:t>Criminal Law Considerations</w:t>
      </w:r>
    </w:p>
    <w:p w14:paraId="30AB5972" w14:textId="77777777" w:rsidR="00303421" w:rsidRPr="00255B96" w:rsidRDefault="00303421" w:rsidP="00255B96">
      <w:pPr>
        <w:autoSpaceDE w:val="0"/>
        <w:autoSpaceDN w:val="0"/>
        <w:adjustRightInd w:val="0"/>
        <w:spacing w:after="0" w:line="276" w:lineRule="auto"/>
        <w:jc w:val="center"/>
        <w:rPr>
          <w:rFonts w:ascii="Times New Roman" w:hAnsi="Times New Roman" w:cs="Times New Roman"/>
          <w:b/>
          <w:bCs/>
          <w:u w:val="single"/>
        </w:rPr>
      </w:pPr>
    </w:p>
    <w:p w14:paraId="418FF44D" w14:textId="40B0C18A" w:rsidR="00700C92" w:rsidRPr="00255B96" w:rsidRDefault="00700C92"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rPr>
        <w:t>Oregon does have a law prohibiting compounding a crime, as do most states.  Oregon’s version reads:</w:t>
      </w:r>
    </w:p>
    <w:p w14:paraId="1D79EA6E" w14:textId="57FDACFD" w:rsidR="00700C92" w:rsidRPr="00255B96" w:rsidRDefault="00700C92" w:rsidP="00255B96">
      <w:pPr>
        <w:pStyle w:val="outlinelevel1"/>
        <w:spacing w:line="276" w:lineRule="auto"/>
        <w:ind w:left="1080" w:right="1080"/>
        <w:rPr>
          <w:sz w:val="22"/>
          <w:szCs w:val="22"/>
        </w:rPr>
      </w:pPr>
      <w:r w:rsidRPr="00255B96">
        <w:rPr>
          <w:rStyle w:val="outlineheading1"/>
          <w:sz w:val="22"/>
          <w:szCs w:val="22"/>
        </w:rPr>
        <w:t>(1)</w:t>
      </w:r>
      <w:r w:rsidRPr="00255B96">
        <w:rPr>
          <w:sz w:val="22"/>
          <w:szCs w:val="22"/>
        </w:rPr>
        <w:t xml:space="preserve"> A person commits the crime of compounding if the person accepts or agrees to accept any pecuniary benefit as consideration for refraining from reporting to law enforcement authorities the commission or suspected commission of any felony or information relating to a felony.</w:t>
      </w:r>
    </w:p>
    <w:p w14:paraId="6D924B1E" w14:textId="77777777" w:rsidR="00700C92" w:rsidRPr="00255B96" w:rsidRDefault="00700C92" w:rsidP="00255B96">
      <w:pPr>
        <w:pStyle w:val="outlinelevel1"/>
        <w:spacing w:line="276" w:lineRule="auto"/>
        <w:ind w:left="1080" w:right="1080"/>
        <w:rPr>
          <w:sz w:val="22"/>
          <w:szCs w:val="22"/>
        </w:rPr>
      </w:pPr>
      <w:r w:rsidRPr="00255B96">
        <w:rPr>
          <w:rStyle w:val="outlineheading1"/>
          <w:sz w:val="22"/>
          <w:szCs w:val="22"/>
        </w:rPr>
        <w:t>(2)</w:t>
      </w:r>
      <w:r w:rsidRPr="00255B96">
        <w:rPr>
          <w:sz w:val="22"/>
          <w:szCs w:val="22"/>
        </w:rPr>
        <w:t xml:space="preserve"> Compounding is a Class A misdemeanor.</w:t>
      </w:r>
    </w:p>
    <w:p w14:paraId="010A75F8" w14:textId="6EEE0EB3" w:rsidR="00700C92" w:rsidRPr="00255B96" w:rsidRDefault="00700C92" w:rsidP="00255B96">
      <w:pPr>
        <w:pStyle w:val="outlinelevel1"/>
        <w:spacing w:line="276" w:lineRule="auto"/>
        <w:rPr>
          <w:sz w:val="22"/>
          <w:szCs w:val="22"/>
        </w:rPr>
      </w:pPr>
      <w:r w:rsidRPr="00255B96">
        <w:rPr>
          <w:sz w:val="22"/>
          <w:szCs w:val="22"/>
        </w:rPr>
        <w:t>ORS 162.335.  This statute did not apply because the victim had already reported the crime to law enforcement, and his assailant had been convicted of felony child sexual abuse.</w:t>
      </w:r>
    </w:p>
    <w:p w14:paraId="3DB6E376" w14:textId="77777777" w:rsidR="009404E7" w:rsidRPr="00255B96" w:rsidRDefault="009404E7" w:rsidP="00255B96">
      <w:pPr>
        <w:pStyle w:val="outlinelevel1"/>
        <w:spacing w:line="276" w:lineRule="auto"/>
        <w:rPr>
          <w:sz w:val="22"/>
          <w:szCs w:val="22"/>
        </w:rPr>
      </w:pPr>
    </w:p>
    <w:p w14:paraId="48B19CF0" w14:textId="231F28E2" w:rsidR="00303421" w:rsidRPr="00255B96" w:rsidRDefault="00303421" w:rsidP="00255B96">
      <w:pPr>
        <w:pStyle w:val="outlinelevel1"/>
        <w:spacing w:line="276" w:lineRule="auto"/>
        <w:jc w:val="center"/>
        <w:rPr>
          <w:b/>
          <w:bCs/>
          <w:sz w:val="22"/>
          <w:szCs w:val="22"/>
          <w:u w:val="single"/>
        </w:rPr>
      </w:pPr>
      <w:r w:rsidRPr="00255B96">
        <w:rPr>
          <w:b/>
          <w:bCs/>
          <w:sz w:val="22"/>
          <w:szCs w:val="22"/>
          <w:u w:val="single"/>
        </w:rPr>
        <w:lastRenderedPageBreak/>
        <w:t>Ethical Considerations</w:t>
      </w:r>
    </w:p>
    <w:p w14:paraId="2C3E5B46" w14:textId="740D98F3" w:rsidR="00700C92" w:rsidRPr="00255B96" w:rsidRDefault="00700C92" w:rsidP="00255B96">
      <w:pPr>
        <w:pStyle w:val="outlinelevel1"/>
        <w:spacing w:line="276" w:lineRule="auto"/>
        <w:rPr>
          <w:sz w:val="22"/>
          <w:szCs w:val="22"/>
        </w:rPr>
      </w:pPr>
      <w:r w:rsidRPr="00255B96">
        <w:rPr>
          <w:sz w:val="22"/>
          <w:szCs w:val="22"/>
        </w:rPr>
        <w:t>But didn’t the agreement also gag the attorney</w:t>
      </w:r>
      <w:r w:rsidR="00136AD7" w:rsidRPr="00255B96">
        <w:rPr>
          <w:sz w:val="22"/>
          <w:szCs w:val="22"/>
        </w:rPr>
        <w:t>, effectively preventing her from representing clients against the same company</w:t>
      </w:r>
      <w:r w:rsidRPr="00255B96">
        <w:rPr>
          <w:sz w:val="22"/>
          <w:szCs w:val="22"/>
        </w:rPr>
        <w:t>, and didn’t that violate RPC 5.6?  The answer is “yes.”  Oregon’s version of RPC 5.6 states in relevant part:</w:t>
      </w:r>
    </w:p>
    <w:p w14:paraId="015896F1" w14:textId="77777777" w:rsidR="00700C92" w:rsidRPr="00255B96" w:rsidRDefault="00700C92" w:rsidP="00255B96">
      <w:pPr>
        <w:autoSpaceDE w:val="0"/>
        <w:autoSpaceDN w:val="0"/>
        <w:adjustRightInd w:val="0"/>
        <w:spacing w:after="0" w:line="276" w:lineRule="auto"/>
        <w:ind w:left="1080" w:right="1080"/>
        <w:rPr>
          <w:rFonts w:ascii="Times New Roman" w:hAnsi="Times New Roman" w:cs="Times New Roman"/>
        </w:rPr>
      </w:pPr>
      <w:r w:rsidRPr="00255B96">
        <w:rPr>
          <w:rFonts w:ascii="Times New Roman" w:hAnsi="Times New Roman" w:cs="Times New Roman"/>
        </w:rPr>
        <w:t>A lawyer shall not participate in offering or making:</w:t>
      </w:r>
    </w:p>
    <w:p w14:paraId="19581A03" w14:textId="298BDA2C" w:rsidR="00700C92" w:rsidRPr="00255B96" w:rsidRDefault="00700C92" w:rsidP="00255B96">
      <w:pPr>
        <w:autoSpaceDE w:val="0"/>
        <w:autoSpaceDN w:val="0"/>
        <w:adjustRightInd w:val="0"/>
        <w:spacing w:after="0" w:line="276" w:lineRule="auto"/>
        <w:ind w:left="1080" w:right="1080"/>
        <w:rPr>
          <w:rFonts w:ascii="Times New Roman" w:hAnsi="Times New Roman" w:cs="Times New Roman"/>
        </w:rPr>
      </w:pPr>
      <w:r w:rsidRPr="00255B96">
        <w:rPr>
          <w:rFonts w:ascii="Times New Roman" w:hAnsi="Times New Roman" w:cs="Times New Roman"/>
        </w:rPr>
        <w:t>*</w:t>
      </w:r>
      <w:r w:rsidRPr="00255B96">
        <w:rPr>
          <w:rFonts w:ascii="Times New Roman" w:hAnsi="Times New Roman" w:cs="Times New Roman"/>
        </w:rPr>
        <w:tab/>
        <w:t xml:space="preserve">   *</w:t>
      </w:r>
      <w:r w:rsidRPr="00255B96">
        <w:rPr>
          <w:rFonts w:ascii="Times New Roman" w:hAnsi="Times New Roman" w:cs="Times New Roman"/>
        </w:rPr>
        <w:tab/>
        <w:t>*</w:t>
      </w:r>
    </w:p>
    <w:p w14:paraId="3D52BD2A" w14:textId="77777777" w:rsidR="00700C92" w:rsidRPr="00255B96" w:rsidRDefault="00700C92" w:rsidP="00255B96">
      <w:pPr>
        <w:autoSpaceDE w:val="0"/>
        <w:autoSpaceDN w:val="0"/>
        <w:adjustRightInd w:val="0"/>
        <w:spacing w:after="0" w:line="276" w:lineRule="auto"/>
        <w:ind w:left="1080" w:right="1080"/>
        <w:rPr>
          <w:rFonts w:ascii="Times New Roman" w:hAnsi="Times New Roman" w:cs="Times New Roman"/>
        </w:rPr>
      </w:pPr>
      <w:r w:rsidRPr="00255B96">
        <w:rPr>
          <w:rFonts w:ascii="Times New Roman" w:hAnsi="Times New Roman" w:cs="Times New Roman"/>
        </w:rPr>
        <w:t>(b) an agreement in which a direct or indirect restriction</w:t>
      </w:r>
    </w:p>
    <w:p w14:paraId="2A2FB898" w14:textId="77777777" w:rsidR="00700C92" w:rsidRPr="00255B96" w:rsidRDefault="00700C92" w:rsidP="00255B96">
      <w:pPr>
        <w:autoSpaceDE w:val="0"/>
        <w:autoSpaceDN w:val="0"/>
        <w:adjustRightInd w:val="0"/>
        <w:spacing w:after="0" w:line="276" w:lineRule="auto"/>
        <w:ind w:left="1080" w:right="1080"/>
        <w:rPr>
          <w:rFonts w:ascii="Times New Roman" w:hAnsi="Times New Roman" w:cs="Times New Roman"/>
        </w:rPr>
      </w:pPr>
      <w:r w:rsidRPr="00255B96">
        <w:rPr>
          <w:rFonts w:ascii="Times New Roman" w:hAnsi="Times New Roman" w:cs="Times New Roman"/>
        </w:rPr>
        <w:t>on the lawyer's right to practice is part of the</w:t>
      </w:r>
    </w:p>
    <w:p w14:paraId="03C96BE0" w14:textId="753D9270" w:rsidR="00700C92" w:rsidRPr="00255B96" w:rsidRDefault="00700C92" w:rsidP="00255B96">
      <w:pPr>
        <w:spacing w:line="276" w:lineRule="auto"/>
        <w:ind w:left="1080" w:right="1080"/>
        <w:rPr>
          <w:rFonts w:ascii="Times New Roman" w:hAnsi="Times New Roman" w:cs="Times New Roman"/>
        </w:rPr>
      </w:pPr>
      <w:r w:rsidRPr="00255B96">
        <w:rPr>
          <w:rFonts w:ascii="Times New Roman" w:hAnsi="Times New Roman" w:cs="Times New Roman"/>
        </w:rPr>
        <w:t>settlement of a client controversy.</w:t>
      </w:r>
    </w:p>
    <w:p w14:paraId="5627C554" w14:textId="55A77705" w:rsidR="00700C92" w:rsidRPr="00255B96" w:rsidRDefault="00700C92" w:rsidP="00255B96">
      <w:pPr>
        <w:spacing w:line="276" w:lineRule="auto"/>
        <w:rPr>
          <w:rFonts w:ascii="Times New Roman" w:hAnsi="Times New Roman" w:cs="Times New Roman"/>
        </w:rPr>
      </w:pPr>
      <w:r w:rsidRPr="00255B96">
        <w:rPr>
          <w:rFonts w:ascii="Times New Roman" w:hAnsi="Times New Roman" w:cs="Times New Roman"/>
        </w:rPr>
        <w:t>Oregon RPC 5.6.</w:t>
      </w:r>
      <w:r w:rsidR="00136AD7" w:rsidRPr="00255B96">
        <w:rPr>
          <w:rFonts w:ascii="Times New Roman" w:hAnsi="Times New Roman" w:cs="Times New Roman"/>
        </w:rPr>
        <w:t xml:space="preserve">  This is how the judge addressed the lawyer’s objection to the settlement term that gagged </w:t>
      </w:r>
      <w:r w:rsidR="00711D60" w:rsidRPr="00255B96">
        <w:rPr>
          <w:rFonts w:ascii="Times New Roman" w:hAnsi="Times New Roman" w:cs="Times New Roman"/>
        </w:rPr>
        <w:t>t</w:t>
      </w:r>
      <w:r w:rsidR="00136AD7" w:rsidRPr="00255B96">
        <w:rPr>
          <w:rFonts w:ascii="Times New Roman" w:hAnsi="Times New Roman" w:cs="Times New Roman"/>
        </w:rPr>
        <w:t>he when the settlement was put on the record:</w:t>
      </w:r>
    </w:p>
    <w:p w14:paraId="55414ADD" w14:textId="778070B1" w:rsidR="00533A35" w:rsidRPr="00255B96" w:rsidRDefault="00136AD7" w:rsidP="00255B96">
      <w:pPr>
        <w:autoSpaceDE w:val="0"/>
        <w:autoSpaceDN w:val="0"/>
        <w:adjustRightInd w:val="0"/>
        <w:spacing w:after="0" w:line="276" w:lineRule="auto"/>
        <w:ind w:left="1080" w:right="1080"/>
        <w:rPr>
          <w:rFonts w:ascii="Times New Roman" w:hAnsi="Times New Roman" w:cs="Times New Roman"/>
        </w:rPr>
      </w:pPr>
      <w:r w:rsidRPr="00255B96">
        <w:rPr>
          <w:rFonts w:ascii="Times New Roman" w:hAnsi="Times New Roman" w:cs="Times New Roman"/>
        </w:rPr>
        <w:t>[</w:t>
      </w:r>
      <w:r w:rsidR="00C136E7" w:rsidRPr="00255B96">
        <w:rPr>
          <w:rFonts w:ascii="Times New Roman" w:hAnsi="Times New Roman" w:cs="Times New Roman"/>
        </w:rPr>
        <w:t>S]</w:t>
      </w:r>
      <w:proofErr w:type="spellStart"/>
      <w:r w:rsidR="009C6EC9" w:rsidRPr="00255B96">
        <w:rPr>
          <w:rFonts w:ascii="Times New Roman" w:hAnsi="Times New Roman" w:cs="Times New Roman"/>
        </w:rPr>
        <w:t>ince</w:t>
      </w:r>
      <w:proofErr w:type="spellEnd"/>
      <w:r w:rsidR="009C6EC9" w:rsidRPr="00255B96">
        <w:rPr>
          <w:rFonts w:ascii="Times New Roman" w:hAnsi="Times New Roman" w:cs="Times New Roman"/>
        </w:rPr>
        <w:t xml:space="preserve"> part of the settlement involves what his</w:t>
      </w:r>
      <w:r w:rsidR="00C136E7" w:rsidRPr="00255B96">
        <w:rPr>
          <w:rFonts w:ascii="Times New Roman" w:hAnsi="Times New Roman" w:cs="Times New Roman"/>
        </w:rPr>
        <w:t xml:space="preserve"> </w:t>
      </w:r>
      <w:r w:rsidR="009C6EC9" w:rsidRPr="00255B96">
        <w:rPr>
          <w:rFonts w:ascii="Times New Roman" w:hAnsi="Times New Roman" w:cs="Times New Roman"/>
        </w:rPr>
        <w:t>lawyer may or may not say or do in the future, we --</w:t>
      </w:r>
      <w:r w:rsidR="00C136E7" w:rsidRPr="00255B96">
        <w:rPr>
          <w:rFonts w:ascii="Times New Roman" w:hAnsi="Times New Roman" w:cs="Times New Roman"/>
        </w:rPr>
        <w:t xml:space="preserve"> i</w:t>
      </w:r>
      <w:r w:rsidR="009C6EC9" w:rsidRPr="00255B96">
        <w:rPr>
          <w:rFonts w:ascii="Times New Roman" w:hAnsi="Times New Roman" w:cs="Times New Roman"/>
        </w:rPr>
        <w:t>n accordance with Rule 5.6, the court will be</w:t>
      </w:r>
      <w:r w:rsidR="00C136E7" w:rsidRPr="00255B96">
        <w:rPr>
          <w:rFonts w:ascii="Times New Roman" w:hAnsi="Times New Roman" w:cs="Times New Roman"/>
        </w:rPr>
        <w:t xml:space="preserve"> </w:t>
      </w:r>
      <w:r w:rsidR="009C6EC9" w:rsidRPr="00255B96">
        <w:rPr>
          <w:rFonts w:ascii="Times New Roman" w:hAnsi="Times New Roman" w:cs="Times New Roman"/>
        </w:rPr>
        <w:t>ordering based on the wishes from the Plaintiff</w:t>
      </w:r>
      <w:r w:rsidR="00C136E7" w:rsidRPr="00255B96">
        <w:rPr>
          <w:rFonts w:ascii="Times New Roman" w:hAnsi="Times New Roman" w:cs="Times New Roman"/>
        </w:rPr>
        <w:t xml:space="preserve"> </w:t>
      </w:r>
      <w:r w:rsidR="009C6EC9" w:rsidRPr="00255B96">
        <w:rPr>
          <w:rFonts w:ascii="Times New Roman" w:hAnsi="Times New Roman" w:cs="Times New Roman"/>
        </w:rPr>
        <w:t>here,</w:t>
      </w:r>
      <w:r w:rsidR="00C136E7" w:rsidRPr="00255B96">
        <w:rPr>
          <w:rFonts w:ascii="Times New Roman" w:hAnsi="Times New Roman" w:cs="Times New Roman"/>
        </w:rPr>
        <w:t xml:space="preserve"> </w:t>
      </w:r>
      <w:r w:rsidR="009C6EC9" w:rsidRPr="00255B96">
        <w:rPr>
          <w:rFonts w:ascii="Times New Roman" w:hAnsi="Times New Roman" w:cs="Times New Roman"/>
        </w:rPr>
        <w:t xml:space="preserve">ordering, then, that Ms. </w:t>
      </w:r>
      <w:r w:rsidR="00C136E7" w:rsidRPr="00255B96">
        <w:rPr>
          <w:rFonts w:ascii="Times New Roman" w:hAnsi="Times New Roman" w:cs="Times New Roman"/>
        </w:rPr>
        <w:t>[Lawyer]</w:t>
      </w:r>
      <w:r w:rsidR="009C6EC9" w:rsidRPr="00255B96">
        <w:rPr>
          <w:rFonts w:ascii="Times New Roman" w:hAnsi="Times New Roman" w:cs="Times New Roman"/>
        </w:rPr>
        <w:t xml:space="preserve"> would agree to</w:t>
      </w:r>
      <w:r w:rsidR="00C136E7" w:rsidRPr="00255B96">
        <w:rPr>
          <w:rFonts w:ascii="Times New Roman" w:hAnsi="Times New Roman" w:cs="Times New Roman"/>
        </w:rPr>
        <w:t xml:space="preserve"> </w:t>
      </w:r>
      <w:r w:rsidR="009C6EC9" w:rsidRPr="00255B96">
        <w:rPr>
          <w:rFonts w:ascii="Times New Roman" w:hAnsi="Times New Roman" w:cs="Times New Roman"/>
        </w:rPr>
        <w:t>accept the settlement on behalf of her client and</w:t>
      </w:r>
      <w:r w:rsidR="00C136E7" w:rsidRPr="00255B96">
        <w:rPr>
          <w:rFonts w:ascii="Times New Roman" w:hAnsi="Times New Roman" w:cs="Times New Roman"/>
        </w:rPr>
        <w:t xml:space="preserve"> </w:t>
      </w:r>
      <w:r w:rsidR="009C6EC9" w:rsidRPr="00255B96">
        <w:rPr>
          <w:rFonts w:ascii="Times New Roman" w:hAnsi="Times New Roman" w:cs="Times New Roman"/>
        </w:rPr>
        <w:t>abide by its terms, then, so that's meant to protect</w:t>
      </w:r>
      <w:r w:rsidR="00C136E7" w:rsidRPr="00255B96">
        <w:rPr>
          <w:rFonts w:ascii="Times New Roman" w:hAnsi="Times New Roman" w:cs="Times New Roman"/>
        </w:rPr>
        <w:t xml:space="preserve"> </w:t>
      </w:r>
      <w:r w:rsidR="009C6EC9" w:rsidRPr="00255B96">
        <w:rPr>
          <w:rFonts w:ascii="Times New Roman" w:hAnsi="Times New Roman" w:cs="Times New Roman"/>
        </w:rPr>
        <w:t>the lawyer from any alleged ethical violation that</w:t>
      </w:r>
      <w:r w:rsidR="00C136E7" w:rsidRPr="00255B96">
        <w:rPr>
          <w:rFonts w:ascii="Times New Roman" w:hAnsi="Times New Roman" w:cs="Times New Roman"/>
        </w:rPr>
        <w:t xml:space="preserve"> </w:t>
      </w:r>
      <w:r w:rsidR="009C6EC9" w:rsidRPr="00255B96">
        <w:rPr>
          <w:rFonts w:ascii="Times New Roman" w:hAnsi="Times New Roman" w:cs="Times New Roman"/>
        </w:rPr>
        <w:t>you can't do this, that you can't enter this kind of</w:t>
      </w:r>
      <w:r w:rsidR="00C136E7" w:rsidRPr="00255B96">
        <w:rPr>
          <w:rFonts w:ascii="Times New Roman" w:hAnsi="Times New Roman" w:cs="Times New Roman"/>
        </w:rPr>
        <w:t xml:space="preserve"> </w:t>
      </w:r>
      <w:r w:rsidR="009C6EC9" w:rsidRPr="00255B96">
        <w:rPr>
          <w:rFonts w:ascii="Times New Roman" w:hAnsi="Times New Roman" w:cs="Times New Roman"/>
        </w:rPr>
        <w:t>agreement, so the court says you need to do this and</w:t>
      </w:r>
      <w:r w:rsidR="00C136E7" w:rsidRPr="00255B96">
        <w:rPr>
          <w:rFonts w:ascii="Times New Roman" w:hAnsi="Times New Roman" w:cs="Times New Roman"/>
        </w:rPr>
        <w:t xml:space="preserve"> </w:t>
      </w:r>
      <w:r w:rsidR="009C6EC9" w:rsidRPr="00255B96">
        <w:rPr>
          <w:rFonts w:ascii="Times New Roman" w:hAnsi="Times New Roman" w:cs="Times New Roman"/>
        </w:rPr>
        <w:t>that your client is agreeing to this, then the court</w:t>
      </w:r>
      <w:r w:rsidR="00C136E7" w:rsidRPr="00255B96">
        <w:rPr>
          <w:rFonts w:ascii="Times New Roman" w:hAnsi="Times New Roman" w:cs="Times New Roman"/>
        </w:rPr>
        <w:t xml:space="preserve"> </w:t>
      </w:r>
      <w:r w:rsidR="009C6EC9" w:rsidRPr="00255B96">
        <w:rPr>
          <w:rFonts w:ascii="Times New Roman" w:hAnsi="Times New Roman" w:cs="Times New Roman"/>
        </w:rPr>
        <w:t>can order that, and that's why we're doing that.</w:t>
      </w:r>
    </w:p>
    <w:p w14:paraId="157034A2" w14:textId="77777777" w:rsidR="00136AD7" w:rsidRPr="00255B96" w:rsidRDefault="00136AD7" w:rsidP="00255B96">
      <w:pPr>
        <w:autoSpaceDE w:val="0"/>
        <w:autoSpaceDN w:val="0"/>
        <w:adjustRightInd w:val="0"/>
        <w:spacing w:after="0" w:line="276" w:lineRule="auto"/>
        <w:ind w:left="1080" w:right="1080"/>
        <w:rPr>
          <w:rFonts w:ascii="Times New Roman" w:hAnsi="Times New Roman" w:cs="Times New Roman"/>
        </w:rPr>
      </w:pPr>
    </w:p>
    <w:p w14:paraId="45EBA278" w14:textId="320C613C" w:rsidR="00C136E7" w:rsidRPr="00255B96" w:rsidRDefault="00136AD7"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rPr>
        <w:t>Does a court’s order of a violation of the Rules of Professional Conduct vitiate the violation?</w:t>
      </w:r>
    </w:p>
    <w:p w14:paraId="1FFB0E58" w14:textId="334126A2" w:rsidR="00711D60" w:rsidRPr="00255B96" w:rsidRDefault="00711D60" w:rsidP="00255B96">
      <w:pPr>
        <w:autoSpaceDE w:val="0"/>
        <w:autoSpaceDN w:val="0"/>
        <w:adjustRightInd w:val="0"/>
        <w:spacing w:after="0" w:line="276" w:lineRule="auto"/>
        <w:rPr>
          <w:rFonts w:ascii="Times New Roman" w:hAnsi="Times New Roman" w:cs="Times New Roman"/>
        </w:rPr>
      </w:pPr>
    </w:p>
    <w:p w14:paraId="1E06F3D3" w14:textId="77777777" w:rsidR="009404E7" w:rsidRPr="00255B96" w:rsidRDefault="00690B97" w:rsidP="00255B96">
      <w:pPr>
        <w:autoSpaceDE w:val="0"/>
        <w:autoSpaceDN w:val="0"/>
        <w:adjustRightInd w:val="0"/>
        <w:spacing w:after="0" w:line="276" w:lineRule="auto"/>
        <w:rPr>
          <w:rFonts w:ascii="Times New Roman" w:hAnsi="Times New Roman" w:cs="Times New Roman"/>
          <w:i/>
          <w:iCs/>
        </w:rPr>
      </w:pPr>
      <w:r w:rsidRPr="00255B96">
        <w:rPr>
          <w:rFonts w:ascii="Times New Roman" w:hAnsi="Times New Roman" w:cs="Times New Roman"/>
        </w:rPr>
        <w:t>One commentator makes a strong argument that secret settlements also violate Rule 3.4 of the Rules of Professional Conduct, which generally prohibits requesting someone other than the lawyer’s own client to withhold relevant information from another party, and Rule 8.4, which prohibits conduct “prejudicial to the administration of justice.”  Jon Bauer, “Buying Witness Silence:  Evidence-Suppressing Settlements and Lawyers’ Ethics,” 87 Or. L. Rev. 481 (2008).</w:t>
      </w:r>
      <w:r w:rsidR="009404E7" w:rsidRPr="00255B96">
        <w:rPr>
          <w:rFonts w:ascii="Times New Roman" w:hAnsi="Times New Roman" w:cs="Times New Roman"/>
        </w:rPr>
        <w:t xml:space="preserve">  </w:t>
      </w:r>
      <w:r w:rsidR="009404E7" w:rsidRPr="00255B96">
        <w:rPr>
          <w:rFonts w:ascii="Times New Roman" w:hAnsi="Times New Roman" w:cs="Times New Roman"/>
          <w:i/>
          <w:iCs/>
        </w:rPr>
        <w:t xml:space="preserve">See also </w:t>
      </w:r>
      <w:r w:rsidR="009404E7" w:rsidRPr="00255B96">
        <w:rPr>
          <w:rFonts w:ascii="Times New Roman" w:hAnsi="Times New Roman" w:cs="Times New Roman"/>
        </w:rPr>
        <w:t xml:space="preserve">Stephen </w:t>
      </w:r>
      <w:proofErr w:type="spellStart"/>
      <w:r w:rsidR="009404E7" w:rsidRPr="00255B96">
        <w:rPr>
          <w:rFonts w:ascii="Times New Roman" w:hAnsi="Times New Roman" w:cs="Times New Roman"/>
        </w:rPr>
        <w:t>Gillers</w:t>
      </w:r>
      <w:proofErr w:type="spellEnd"/>
      <w:r w:rsidR="009404E7" w:rsidRPr="00255B96">
        <w:rPr>
          <w:rFonts w:ascii="Times New Roman" w:hAnsi="Times New Roman" w:cs="Times New Roman"/>
          <w:i/>
          <w:iCs/>
        </w:rPr>
        <w:t>, Speak No Evil: Settlement</w:t>
      </w:r>
    </w:p>
    <w:p w14:paraId="3F0DE1F4" w14:textId="5D6154BC" w:rsidR="00690B97" w:rsidRPr="00255B96" w:rsidRDefault="009404E7"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i/>
          <w:iCs/>
        </w:rPr>
        <w:t>Agreements Conditioned on Noncooperation Are Illegal and Unethical</w:t>
      </w:r>
      <w:r w:rsidRPr="00255B96">
        <w:rPr>
          <w:rFonts w:ascii="Times New Roman" w:hAnsi="Times New Roman" w:cs="Times New Roman"/>
        </w:rPr>
        <w:t xml:space="preserve">, 31 Hofstra L. Rev. 1 (2002); Conn. Bar. </w:t>
      </w:r>
      <w:proofErr w:type="spellStart"/>
      <w:r w:rsidRPr="00255B96">
        <w:rPr>
          <w:rFonts w:ascii="Times New Roman" w:hAnsi="Times New Roman" w:cs="Times New Roman"/>
        </w:rPr>
        <w:t>Ass’n</w:t>
      </w:r>
      <w:proofErr w:type="spellEnd"/>
      <w:r w:rsidRPr="00255B96">
        <w:rPr>
          <w:rFonts w:ascii="Times New Roman" w:hAnsi="Times New Roman" w:cs="Times New Roman"/>
        </w:rPr>
        <w:t xml:space="preserve"> Informal Opinion 2011-1 (Jan. 19, 2011), S.C. Bar Ethics Advisory Comm., Op. 93-20 (1993).</w:t>
      </w:r>
      <w:r w:rsidR="00690B97" w:rsidRPr="00255B96">
        <w:rPr>
          <w:rFonts w:ascii="Times New Roman" w:hAnsi="Times New Roman" w:cs="Times New Roman"/>
        </w:rPr>
        <w:t xml:space="preserve">  </w:t>
      </w:r>
    </w:p>
    <w:p w14:paraId="00EBE06E" w14:textId="77777777" w:rsidR="00303421" w:rsidRPr="00255B96" w:rsidRDefault="00303421" w:rsidP="00255B96">
      <w:pPr>
        <w:spacing w:line="276" w:lineRule="auto"/>
        <w:jc w:val="center"/>
        <w:rPr>
          <w:rFonts w:ascii="Times New Roman" w:hAnsi="Times New Roman" w:cs="Times New Roman"/>
          <w:b/>
          <w:bCs/>
          <w:u w:val="single"/>
        </w:rPr>
      </w:pPr>
      <w:r w:rsidRPr="00255B96">
        <w:rPr>
          <w:rFonts w:ascii="Times New Roman" w:hAnsi="Times New Roman" w:cs="Times New Roman"/>
          <w:b/>
          <w:bCs/>
          <w:u w:val="single"/>
        </w:rPr>
        <w:t>Tax Considerations</w:t>
      </w:r>
    </w:p>
    <w:p w14:paraId="1DB2CFFE" w14:textId="045BCFA5" w:rsidR="00457478" w:rsidRPr="00255B96" w:rsidRDefault="00711D60"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rPr>
        <w:t>Some of you are thinking, “</w:t>
      </w:r>
      <w:r w:rsidR="00457478" w:rsidRPr="00255B96">
        <w:rPr>
          <w:rFonts w:ascii="Times New Roman" w:hAnsi="Times New Roman" w:cs="Times New Roman"/>
        </w:rPr>
        <w:t>Aren’t there potential tax consequences when a settlement agreement includes confidentiality or nondisclosure terms?</w:t>
      </w:r>
      <w:r w:rsidRPr="00255B96">
        <w:rPr>
          <w:rFonts w:ascii="Times New Roman" w:hAnsi="Times New Roman" w:cs="Times New Roman"/>
        </w:rPr>
        <w:t>”</w:t>
      </w:r>
      <w:r w:rsidR="00457478" w:rsidRPr="00255B96">
        <w:rPr>
          <w:rFonts w:ascii="Times New Roman" w:hAnsi="Times New Roman" w:cs="Times New Roman"/>
        </w:rPr>
        <w:t xml:space="preserve">  There might be, if you’re not careful.  Consider Dennis Rodman’s settlement with the TV cameraman he assaulted in 1997:</w:t>
      </w:r>
    </w:p>
    <w:p w14:paraId="0F402223" w14:textId="2A6A6179" w:rsidR="00457478" w:rsidRPr="00255B96" w:rsidRDefault="00457478" w:rsidP="00255B96">
      <w:pPr>
        <w:autoSpaceDE w:val="0"/>
        <w:autoSpaceDN w:val="0"/>
        <w:adjustRightInd w:val="0"/>
        <w:spacing w:after="0" w:line="276" w:lineRule="auto"/>
        <w:rPr>
          <w:rFonts w:ascii="Times New Roman" w:hAnsi="Times New Roman" w:cs="Times New Roman"/>
        </w:rPr>
      </w:pPr>
    </w:p>
    <w:p w14:paraId="4E2A20BE" w14:textId="2818E49D" w:rsidR="00457478" w:rsidRPr="00255B96" w:rsidRDefault="00457478" w:rsidP="00255B96">
      <w:pPr>
        <w:autoSpaceDE w:val="0"/>
        <w:autoSpaceDN w:val="0"/>
        <w:adjustRightInd w:val="0"/>
        <w:spacing w:after="0" w:line="276" w:lineRule="auto"/>
        <w:ind w:left="1080" w:right="1080"/>
        <w:rPr>
          <w:rFonts w:ascii="Times New Roman" w:hAnsi="Times New Roman" w:cs="Times New Roman"/>
        </w:rPr>
      </w:pPr>
      <w:r w:rsidRPr="00255B96">
        <w:rPr>
          <w:rFonts w:ascii="Times New Roman" w:hAnsi="Times New Roman" w:cs="Times New Roman"/>
        </w:rPr>
        <w:t xml:space="preserve">For and in consideration of TWO HUNDRED THOUSAND DOLLARS ($200,000), the mutual waiver of costs, attorneys' fees and legal expenses, if any, and other good and valuable consideration, the receipt and sufficiency of which is hereby acknowledged, Eugene Amos [petitioner], on behalf of himself, his agents, representatives, attorneys, assignees, heirs, executors and administrators, hereby releases and forever discharges Dennis Rodman, the Chicago Bulls, the </w:t>
      </w:r>
      <w:r w:rsidRPr="00255B96">
        <w:rPr>
          <w:rFonts w:ascii="Times New Roman" w:hAnsi="Times New Roman" w:cs="Times New Roman"/>
        </w:rPr>
        <w:lastRenderedPageBreak/>
        <w:t xml:space="preserve">National Basketball Association and all other persons, firms and corporations together with their subsidiaries, divisions and affiliates, past and present officers, directors, employees, insurers, agents, personal representatives and legal counsel, from any and all claims and causes of action of any type, known and unknown, upon and by reason of any damage, loss or injury which heretofore have been or </w:t>
      </w:r>
      <w:proofErr w:type="spellStart"/>
      <w:r w:rsidRPr="00255B96">
        <w:rPr>
          <w:rFonts w:ascii="Times New Roman" w:hAnsi="Times New Roman" w:cs="Times New Roman"/>
        </w:rPr>
        <w:t>heretoafter</w:t>
      </w:r>
      <w:proofErr w:type="spellEnd"/>
      <w:r w:rsidRPr="00255B96">
        <w:rPr>
          <w:rFonts w:ascii="Times New Roman" w:hAnsi="Times New Roman" w:cs="Times New Roman"/>
        </w:rPr>
        <w:t xml:space="preserve"> may be sustained by Amos arising, or which could have arisen, out of or in connection with an incident occurring between Rodman and Amos at a game between the Chicago Bulls and the Minnesota Timberwolves on January 15, 1997. . .</w:t>
      </w:r>
    </w:p>
    <w:p w14:paraId="5E07364C" w14:textId="454D6C25" w:rsidR="00457478" w:rsidRPr="00255B96" w:rsidRDefault="00457478" w:rsidP="00255B96">
      <w:pPr>
        <w:autoSpaceDE w:val="0"/>
        <w:autoSpaceDN w:val="0"/>
        <w:adjustRightInd w:val="0"/>
        <w:spacing w:after="0" w:line="276" w:lineRule="auto"/>
        <w:ind w:left="1080" w:right="1080"/>
        <w:rPr>
          <w:rFonts w:ascii="Times New Roman" w:hAnsi="Times New Roman" w:cs="Times New Roman"/>
        </w:rPr>
      </w:pPr>
      <w:r w:rsidRPr="00255B96">
        <w:rPr>
          <w:rFonts w:ascii="Times New Roman" w:hAnsi="Times New Roman" w:cs="Times New Roman"/>
        </w:rPr>
        <w:t>*</w:t>
      </w:r>
      <w:r w:rsidRPr="00255B96">
        <w:rPr>
          <w:rFonts w:ascii="Times New Roman" w:hAnsi="Times New Roman" w:cs="Times New Roman"/>
        </w:rPr>
        <w:tab/>
        <w:t xml:space="preserve">   *</w:t>
      </w:r>
      <w:r w:rsidRPr="00255B96">
        <w:rPr>
          <w:rFonts w:ascii="Times New Roman" w:hAnsi="Times New Roman" w:cs="Times New Roman"/>
        </w:rPr>
        <w:tab/>
        <w:t>*</w:t>
      </w:r>
    </w:p>
    <w:p w14:paraId="51F762CB" w14:textId="63DE816F" w:rsidR="00457478" w:rsidRPr="00255B96" w:rsidRDefault="00457478" w:rsidP="00255B96">
      <w:pPr>
        <w:autoSpaceDE w:val="0"/>
        <w:autoSpaceDN w:val="0"/>
        <w:adjustRightInd w:val="0"/>
        <w:spacing w:after="0" w:line="276" w:lineRule="auto"/>
        <w:ind w:left="1080" w:right="1080"/>
        <w:rPr>
          <w:rFonts w:ascii="Times New Roman" w:hAnsi="Times New Roman" w:cs="Times New Roman"/>
        </w:rPr>
      </w:pPr>
      <w:r w:rsidRPr="00255B96">
        <w:rPr>
          <w:rFonts w:ascii="Times New Roman" w:hAnsi="Times New Roman" w:cs="Times New Roman"/>
        </w:rPr>
        <w:t xml:space="preserve">It is further understood and agreed that the payment of the sum described herein is not to be construed as an admission of liability and is a compromise of a disputed claim. </w:t>
      </w:r>
      <w:r w:rsidRPr="00255B96">
        <w:rPr>
          <w:rFonts w:ascii="Times New Roman" w:hAnsi="Times New Roman" w:cs="Times New Roman"/>
          <w:b/>
          <w:bCs/>
          <w:i/>
          <w:iCs/>
        </w:rPr>
        <w:t>It is further understood that part of the consideration for this Agreement and Release includes an agreement that Rodman and Amos shall not at any time from the date of this Agreement and Release forward disparage or defame each other</w:t>
      </w:r>
      <w:r w:rsidRPr="00255B96">
        <w:rPr>
          <w:rFonts w:ascii="Times New Roman" w:hAnsi="Times New Roman" w:cs="Times New Roman"/>
        </w:rPr>
        <w:t>.</w:t>
      </w:r>
    </w:p>
    <w:p w14:paraId="6A186C91" w14:textId="77777777" w:rsidR="00AC4F35" w:rsidRPr="00255B96" w:rsidRDefault="00AC4F35" w:rsidP="00255B96">
      <w:pPr>
        <w:autoSpaceDE w:val="0"/>
        <w:autoSpaceDN w:val="0"/>
        <w:adjustRightInd w:val="0"/>
        <w:spacing w:after="0" w:line="276" w:lineRule="auto"/>
        <w:ind w:left="1080" w:right="1080"/>
        <w:rPr>
          <w:rFonts w:ascii="Times New Roman" w:hAnsi="Times New Roman" w:cs="Times New Roman"/>
        </w:rPr>
      </w:pPr>
    </w:p>
    <w:p w14:paraId="50952C7C" w14:textId="2D4189B8" w:rsidR="00457478" w:rsidRPr="00255B96" w:rsidRDefault="00AC4F35" w:rsidP="00255B96">
      <w:pPr>
        <w:autoSpaceDE w:val="0"/>
        <w:autoSpaceDN w:val="0"/>
        <w:adjustRightInd w:val="0"/>
        <w:spacing w:after="0" w:line="276" w:lineRule="auto"/>
        <w:ind w:right="1080"/>
        <w:rPr>
          <w:rFonts w:ascii="Times New Roman" w:hAnsi="Times New Roman" w:cs="Times New Roman"/>
        </w:rPr>
      </w:pPr>
      <w:r w:rsidRPr="00255B96">
        <w:rPr>
          <w:rFonts w:ascii="Times New Roman" w:hAnsi="Times New Roman" w:cs="Times New Roman"/>
        </w:rPr>
        <w:t xml:space="preserve">After a discussion of relevant authority and the underlying facts, the Internal Revenue Service determined that $120,000 of Amos’s consideration was “on account of personal physical injuries,” and the rest was for Amos’s agreement not to “(1) </w:t>
      </w:r>
      <w:r w:rsidR="00711D60" w:rsidRPr="00255B96">
        <w:rPr>
          <w:rFonts w:ascii="Times New Roman" w:hAnsi="Times New Roman" w:cs="Times New Roman"/>
        </w:rPr>
        <w:t>d</w:t>
      </w:r>
      <w:r w:rsidRPr="00255B96">
        <w:rPr>
          <w:rFonts w:ascii="Times New Roman" w:hAnsi="Times New Roman" w:cs="Times New Roman"/>
        </w:rPr>
        <w:t xml:space="preserve">efame Mr. Rodman, (2) disclose the existence or the terms of the settlement agreement, (3) publicize facts relating to the incident, or (4) assist in any criminal prosecution against Mr. Rodman with respect to the incident[.]”  </w:t>
      </w:r>
      <w:r w:rsidRPr="00255B96">
        <w:rPr>
          <w:rFonts w:ascii="Times New Roman" w:hAnsi="Times New Roman" w:cs="Times New Roman"/>
          <w:i/>
          <w:iCs/>
        </w:rPr>
        <w:t>Amos v. Commissioner of Internal Revenue</w:t>
      </w:r>
      <w:r w:rsidRPr="00255B96">
        <w:rPr>
          <w:rFonts w:ascii="Times New Roman" w:hAnsi="Times New Roman" w:cs="Times New Roman"/>
        </w:rPr>
        <w:t>, 2003 TC Memo 329, 15 (U.S. Tax Court 2003).  Thus, $80,000 of the settlement was taxable income.</w:t>
      </w:r>
    </w:p>
    <w:p w14:paraId="35256660" w14:textId="76D530DC" w:rsidR="00AC4F35" w:rsidRPr="00255B96" w:rsidRDefault="00AC4F35" w:rsidP="00255B96">
      <w:pPr>
        <w:autoSpaceDE w:val="0"/>
        <w:autoSpaceDN w:val="0"/>
        <w:adjustRightInd w:val="0"/>
        <w:spacing w:after="0" w:line="276" w:lineRule="auto"/>
        <w:ind w:right="1080"/>
        <w:rPr>
          <w:rFonts w:ascii="Times New Roman" w:hAnsi="Times New Roman" w:cs="Times New Roman"/>
        </w:rPr>
      </w:pPr>
    </w:p>
    <w:p w14:paraId="6BC06CC4" w14:textId="5BD78D30" w:rsidR="00AC4F35" w:rsidRPr="00255B96" w:rsidRDefault="00AC4F35" w:rsidP="00255B96">
      <w:pPr>
        <w:autoSpaceDE w:val="0"/>
        <w:autoSpaceDN w:val="0"/>
        <w:adjustRightInd w:val="0"/>
        <w:spacing w:after="0" w:line="276" w:lineRule="auto"/>
        <w:ind w:right="1080"/>
        <w:rPr>
          <w:rFonts w:ascii="Times New Roman" w:hAnsi="Times New Roman" w:cs="Times New Roman"/>
        </w:rPr>
      </w:pPr>
      <w:r w:rsidRPr="00255B96">
        <w:rPr>
          <w:rFonts w:ascii="Times New Roman" w:hAnsi="Times New Roman" w:cs="Times New Roman"/>
        </w:rPr>
        <w:t xml:space="preserve">Tax consequences are avoidable.  As noted by the Tax Court in </w:t>
      </w:r>
      <w:r w:rsidRPr="00255B96">
        <w:rPr>
          <w:rFonts w:ascii="Times New Roman" w:hAnsi="Times New Roman" w:cs="Times New Roman"/>
          <w:i/>
          <w:iCs/>
        </w:rPr>
        <w:t>Amos</w:t>
      </w:r>
      <w:r w:rsidRPr="00255B96">
        <w:rPr>
          <w:rFonts w:ascii="Times New Roman" w:hAnsi="Times New Roman" w:cs="Times New Roman"/>
        </w:rPr>
        <w:t>, “Where there is a settlement agreement, [the determination of the nature of the claim] is usually made by reference to it,” and “[</w:t>
      </w:r>
      <w:proofErr w:type="spellStart"/>
      <w:r w:rsidRPr="00255B96">
        <w:rPr>
          <w:rFonts w:ascii="Times New Roman" w:hAnsi="Times New Roman" w:cs="Times New Roman"/>
        </w:rPr>
        <w:t>i</w:t>
      </w:r>
      <w:proofErr w:type="spellEnd"/>
      <w:r w:rsidRPr="00255B96">
        <w:rPr>
          <w:rFonts w:ascii="Times New Roman" w:hAnsi="Times New Roman" w:cs="Times New Roman"/>
        </w:rPr>
        <w:t xml:space="preserve">]f the settlement agreement lacks express language stating what the amount paid pursuant to that agreement was to settle, the intent of the payor is critical to that determination.”  </w:t>
      </w:r>
      <w:r w:rsidRPr="00255B96">
        <w:rPr>
          <w:rFonts w:ascii="Times New Roman" w:hAnsi="Times New Roman" w:cs="Times New Roman"/>
          <w:i/>
          <w:iCs/>
        </w:rPr>
        <w:t>Id.</w:t>
      </w:r>
      <w:r w:rsidRPr="00255B96">
        <w:rPr>
          <w:rFonts w:ascii="Times New Roman" w:hAnsi="Times New Roman" w:cs="Times New Roman"/>
        </w:rPr>
        <w:t xml:space="preserve"> At 11.</w:t>
      </w:r>
    </w:p>
    <w:p w14:paraId="77505E46" w14:textId="613D9C96" w:rsidR="00AC4F35" w:rsidRPr="00255B96" w:rsidRDefault="00AC4F35" w:rsidP="00255B96">
      <w:pPr>
        <w:autoSpaceDE w:val="0"/>
        <w:autoSpaceDN w:val="0"/>
        <w:adjustRightInd w:val="0"/>
        <w:spacing w:after="0" w:line="276" w:lineRule="auto"/>
        <w:ind w:right="1080"/>
        <w:rPr>
          <w:rFonts w:ascii="Times New Roman" w:hAnsi="Times New Roman" w:cs="Times New Roman"/>
        </w:rPr>
      </w:pPr>
    </w:p>
    <w:p w14:paraId="13AD1BC2" w14:textId="45EA1CB2" w:rsidR="00AC4F35" w:rsidRPr="00255B96" w:rsidRDefault="00AC4F35" w:rsidP="00255B96">
      <w:pPr>
        <w:autoSpaceDE w:val="0"/>
        <w:autoSpaceDN w:val="0"/>
        <w:adjustRightInd w:val="0"/>
        <w:spacing w:after="0" w:line="276" w:lineRule="auto"/>
        <w:ind w:right="1080"/>
        <w:rPr>
          <w:rFonts w:ascii="Times New Roman" w:hAnsi="Times New Roman" w:cs="Times New Roman"/>
        </w:rPr>
      </w:pPr>
      <w:r w:rsidRPr="00255B96">
        <w:rPr>
          <w:rFonts w:ascii="Times New Roman" w:hAnsi="Times New Roman" w:cs="Times New Roman"/>
        </w:rPr>
        <w:t>Consider the following provision:</w:t>
      </w:r>
    </w:p>
    <w:p w14:paraId="40B6A796" w14:textId="4CB29EAD" w:rsidR="00C136E7" w:rsidRPr="00255B96" w:rsidRDefault="00C136E7" w:rsidP="00255B96">
      <w:pPr>
        <w:autoSpaceDE w:val="0"/>
        <w:autoSpaceDN w:val="0"/>
        <w:adjustRightInd w:val="0"/>
        <w:spacing w:after="0" w:line="276" w:lineRule="auto"/>
        <w:rPr>
          <w:rFonts w:ascii="Times New Roman" w:hAnsi="Times New Roman" w:cs="Times New Roman"/>
        </w:rPr>
      </w:pPr>
    </w:p>
    <w:p w14:paraId="602DE39F" w14:textId="77777777" w:rsidR="00136AD7" w:rsidRPr="00255B96" w:rsidRDefault="00136AD7" w:rsidP="00255B96">
      <w:pPr>
        <w:spacing w:line="276" w:lineRule="auto"/>
        <w:ind w:left="1080" w:right="1080" w:firstLine="720"/>
        <w:rPr>
          <w:rFonts w:ascii="Times New Roman" w:hAnsi="Times New Roman" w:cs="Times New Roman"/>
        </w:rPr>
      </w:pPr>
      <w:r w:rsidRPr="00255B96">
        <w:rPr>
          <w:rFonts w:ascii="Times New Roman" w:hAnsi="Times New Roman" w:cs="Times New Roman"/>
        </w:rPr>
        <w:t xml:space="preserve">9.  </w:t>
      </w:r>
      <w:r w:rsidRPr="00255B96">
        <w:rPr>
          <w:rFonts w:ascii="Times New Roman" w:hAnsi="Times New Roman" w:cs="Times New Roman"/>
        </w:rPr>
        <w:tab/>
      </w:r>
      <w:r w:rsidRPr="00255B96">
        <w:rPr>
          <w:rFonts w:ascii="Times New Roman" w:hAnsi="Times New Roman" w:cs="Times New Roman"/>
          <w:u w:val="single"/>
        </w:rPr>
        <w:t>Nature of Consideration</w:t>
      </w:r>
      <w:r w:rsidRPr="00255B96">
        <w:rPr>
          <w:rFonts w:ascii="Times New Roman" w:hAnsi="Times New Roman" w:cs="Times New Roman"/>
        </w:rPr>
        <w:t>.  The Settlement Amount shall constitute damages on account of personal physical injuries arising from an occurrence within the meaning of Section 104(a)(2) of the Internal Revenue Code.  No part of the Settlement Amount is on account of any claim for punitive damages, lost income, wages or earning capacity, or emotional distress damages other than as may have arisen from a battery, although all such claims are being released herein.</w:t>
      </w:r>
    </w:p>
    <w:p w14:paraId="7B7E300E" w14:textId="14A81BCD" w:rsidR="00136AD7" w:rsidRPr="00255B96" w:rsidRDefault="00AC4F35"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rPr>
        <w:t>Is</w:t>
      </w:r>
      <w:r w:rsidR="00711D60" w:rsidRPr="00255B96">
        <w:rPr>
          <w:rFonts w:ascii="Times New Roman" w:hAnsi="Times New Roman" w:cs="Times New Roman"/>
        </w:rPr>
        <w:t xml:space="preserve"> this language </w:t>
      </w:r>
      <w:r w:rsidRPr="00255B96">
        <w:rPr>
          <w:rFonts w:ascii="Times New Roman" w:hAnsi="Times New Roman" w:cs="Times New Roman"/>
        </w:rPr>
        <w:t xml:space="preserve">sufficient when there is a non-disparagement or “gag” provision?  Why risk the IRS’s interpretation?  </w:t>
      </w:r>
      <w:r w:rsidR="00711D60" w:rsidRPr="00255B96">
        <w:rPr>
          <w:rFonts w:ascii="Times New Roman" w:hAnsi="Times New Roman" w:cs="Times New Roman"/>
        </w:rPr>
        <w:t>If you are agreeing to confidentiality or a “gag” provision, make it mutual, and include a stipulation that the mutuality is the only consideration for that provision.</w:t>
      </w:r>
    </w:p>
    <w:p w14:paraId="675D0A6C" w14:textId="7765B8A2" w:rsidR="00303421" w:rsidRPr="00255B96" w:rsidRDefault="00303421" w:rsidP="00255B96">
      <w:pPr>
        <w:autoSpaceDE w:val="0"/>
        <w:autoSpaceDN w:val="0"/>
        <w:adjustRightInd w:val="0"/>
        <w:spacing w:after="0" w:line="276" w:lineRule="auto"/>
        <w:rPr>
          <w:rFonts w:ascii="Times New Roman" w:hAnsi="Times New Roman" w:cs="Times New Roman"/>
        </w:rPr>
      </w:pPr>
    </w:p>
    <w:p w14:paraId="3D4DFCE7" w14:textId="24258997" w:rsidR="00D308F9" w:rsidRPr="00255B96" w:rsidRDefault="00D308F9" w:rsidP="00255B96">
      <w:pPr>
        <w:spacing w:line="276" w:lineRule="auto"/>
        <w:jc w:val="center"/>
        <w:rPr>
          <w:rFonts w:ascii="Times New Roman" w:hAnsi="Times New Roman" w:cs="Times New Roman"/>
          <w:b/>
          <w:bCs/>
          <w:u w:val="single"/>
        </w:rPr>
      </w:pPr>
      <w:r w:rsidRPr="00255B96">
        <w:rPr>
          <w:rFonts w:ascii="Times New Roman" w:hAnsi="Times New Roman" w:cs="Times New Roman"/>
          <w:b/>
          <w:bCs/>
          <w:u w:val="single"/>
        </w:rPr>
        <w:lastRenderedPageBreak/>
        <w:t>Public Policy Considerations</w:t>
      </w:r>
    </w:p>
    <w:p w14:paraId="70CF2F73" w14:textId="77777777" w:rsidR="00EE7560" w:rsidRPr="00255B96" w:rsidRDefault="00711D60"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rPr>
        <w:t xml:space="preserve">The </w:t>
      </w:r>
      <w:r w:rsidR="00770948" w:rsidRPr="00255B96">
        <w:rPr>
          <w:rFonts w:ascii="Times New Roman" w:hAnsi="Times New Roman" w:cs="Times New Roman"/>
        </w:rPr>
        <w:t>#</w:t>
      </w:r>
      <w:r w:rsidRPr="00255B96">
        <w:rPr>
          <w:rFonts w:ascii="Times New Roman" w:hAnsi="Times New Roman" w:cs="Times New Roman"/>
        </w:rPr>
        <w:t>MeToo movement has</w:t>
      </w:r>
      <w:r w:rsidR="00770948" w:rsidRPr="00255B96">
        <w:rPr>
          <w:rFonts w:ascii="Times New Roman" w:hAnsi="Times New Roman" w:cs="Times New Roman"/>
        </w:rPr>
        <w:t xml:space="preserve"> made secret settlements a subject of general interest.  The legislatures of at least 12 states passed laws prohibiting some form of secret settlements during the last legislative session, and more are in the works.  </w:t>
      </w:r>
      <w:r w:rsidR="00BD4300" w:rsidRPr="00255B96">
        <w:rPr>
          <w:rFonts w:ascii="Times New Roman" w:hAnsi="Times New Roman" w:cs="Times New Roman"/>
          <w:i/>
          <w:iCs/>
        </w:rPr>
        <w:t xml:space="preserve">See </w:t>
      </w:r>
      <w:r w:rsidR="00BD4300" w:rsidRPr="00255B96">
        <w:rPr>
          <w:rFonts w:ascii="Times New Roman" w:hAnsi="Times New Roman" w:cs="Times New Roman"/>
        </w:rPr>
        <w:t xml:space="preserve">Elizabeth A. Harris, “Despite #MeToo Glare, Efforts to Ban Secret Settlements Stop Short,” </w:t>
      </w:r>
      <w:r w:rsidR="00BD4300" w:rsidRPr="00255B96">
        <w:rPr>
          <w:rFonts w:ascii="Times New Roman" w:hAnsi="Times New Roman" w:cs="Times New Roman"/>
          <w:i/>
          <w:iCs/>
        </w:rPr>
        <w:t>New York Times</w:t>
      </w:r>
      <w:r w:rsidR="00BD4300" w:rsidRPr="00255B96">
        <w:rPr>
          <w:rFonts w:ascii="Times New Roman" w:hAnsi="Times New Roman" w:cs="Times New Roman"/>
        </w:rPr>
        <w:t xml:space="preserve"> (June 14, 2019).  </w:t>
      </w:r>
      <w:r w:rsidR="00770948" w:rsidRPr="00255B96">
        <w:rPr>
          <w:rFonts w:ascii="Times New Roman" w:hAnsi="Times New Roman" w:cs="Times New Roman"/>
        </w:rPr>
        <w:t xml:space="preserve">But lawyers representing crime victims have been discussing </w:t>
      </w:r>
      <w:r w:rsidR="00EE7560" w:rsidRPr="00255B96">
        <w:rPr>
          <w:rFonts w:ascii="Times New Roman" w:hAnsi="Times New Roman" w:cs="Times New Roman"/>
        </w:rPr>
        <w:t>speech-limiting settlement provisions f</w:t>
      </w:r>
      <w:r w:rsidR="00770948" w:rsidRPr="00255B96">
        <w:rPr>
          <w:rFonts w:ascii="Times New Roman" w:hAnsi="Times New Roman" w:cs="Times New Roman"/>
        </w:rPr>
        <w:t xml:space="preserve">or decades.  </w:t>
      </w:r>
    </w:p>
    <w:p w14:paraId="0988995E" w14:textId="77777777" w:rsidR="00EE7560" w:rsidRPr="00255B96" w:rsidRDefault="00EE7560" w:rsidP="00255B96">
      <w:pPr>
        <w:autoSpaceDE w:val="0"/>
        <w:autoSpaceDN w:val="0"/>
        <w:adjustRightInd w:val="0"/>
        <w:spacing w:after="0" w:line="276" w:lineRule="auto"/>
        <w:rPr>
          <w:rFonts w:ascii="Times New Roman" w:hAnsi="Times New Roman" w:cs="Times New Roman"/>
        </w:rPr>
      </w:pPr>
    </w:p>
    <w:p w14:paraId="6ABCC85B" w14:textId="77777777" w:rsidR="00EE7560" w:rsidRPr="00255B96" w:rsidRDefault="007A2F20"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rPr>
        <w:t xml:space="preserve">Child molestation charges against Michael Jackson evaporated in 1993 after he reached a settlement with his victim, who then “chose” not to testify against Jackson.  </w:t>
      </w:r>
      <w:r w:rsidR="00690B97" w:rsidRPr="00255B96">
        <w:rPr>
          <w:rFonts w:ascii="Times New Roman" w:hAnsi="Times New Roman" w:cs="Times New Roman"/>
          <w:i/>
          <w:iCs/>
        </w:rPr>
        <w:t xml:space="preserve">See </w:t>
      </w:r>
      <w:r w:rsidRPr="00255B96">
        <w:rPr>
          <w:rFonts w:ascii="Times New Roman" w:hAnsi="Times New Roman" w:cs="Times New Roman"/>
        </w:rPr>
        <w:t>J</w:t>
      </w:r>
      <w:r w:rsidR="00690B97" w:rsidRPr="00255B96">
        <w:rPr>
          <w:rFonts w:ascii="Times New Roman" w:hAnsi="Times New Roman" w:cs="Times New Roman"/>
        </w:rPr>
        <w:t xml:space="preserve">oel </w:t>
      </w:r>
      <w:r w:rsidRPr="00255B96">
        <w:rPr>
          <w:rFonts w:ascii="Times New Roman" w:hAnsi="Times New Roman" w:cs="Times New Roman"/>
        </w:rPr>
        <w:t>Cohen and J</w:t>
      </w:r>
      <w:r w:rsidR="00690B97" w:rsidRPr="00255B96">
        <w:rPr>
          <w:rFonts w:ascii="Times New Roman" w:hAnsi="Times New Roman" w:cs="Times New Roman"/>
        </w:rPr>
        <w:t>ames L.</w:t>
      </w:r>
      <w:r w:rsidRPr="00255B96">
        <w:rPr>
          <w:rFonts w:ascii="Times New Roman" w:hAnsi="Times New Roman" w:cs="Times New Roman"/>
        </w:rPr>
        <w:t xml:space="preserve"> Bernard, </w:t>
      </w:r>
      <w:r w:rsidR="00690B97" w:rsidRPr="00255B96">
        <w:rPr>
          <w:rFonts w:ascii="Times New Roman" w:hAnsi="Times New Roman" w:cs="Times New Roman"/>
        </w:rPr>
        <w:t>“</w:t>
      </w:r>
      <w:r w:rsidRPr="00255B96">
        <w:rPr>
          <w:rFonts w:ascii="Times New Roman" w:hAnsi="Times New Roman" w:cs="Times New Roman"/>
        </w:rPr>
        <w:t>Buying Victim Silence,</w:t>
      </w:r>
      <w:r w:rsidR="00690B97" w:rsidRPr="00255B96">
        <w:rPr>
          <w:rFonts w:ascii="Times New Roman" w:hAnsi="Times New Roman" w:cs="Times New Roman"/>
        </w:rPr>
        <w:t>”</w:t>
      </w:r>
      <w:r w:rsidRPr="00255B96">
        <w:rPr>
          <w:rFonts w:ascii="Times New Roman" w:hAnsi="Times New Roman" w:cs="Times New Roman"/>
        </w:rPr>
        <w:t xml:space="preserve"> </w:t>
      </w:r>
      <w:r w:rsidR="00690B97" w:rsidRPr="00255B96">
        <w:rPr>
          <w:rFonts w:ascii="Times New Roman" w:hAnsi="Times New Roman" w:cs="Times New Roman"/>
          <w:i/>
          <w:iCs/>
        </w:rPr>
        <w:t>New York Law Journal</w:t>
      </w:r>
      <w:r w:rsidR="00690B97" w:rsidRPr="00255B96">
        <w:rPr>
          <w:rFonts w:ascii="Times New Roman" w:hAnsi="Times New Roman" w:cs="Times New Roman"/>
        </w:rPr>
        <w:t xml:space="preserve"> (July 28, 2004) and Maureen Orth, “Neverland’s Lost Boys,” </w:t>
      </w:r>
      <w:r w:rsidR="00690B97" w:rsidRPr="00255B96">
        <w:rPr>
          <w:rFonts w:ascii="Times New Roman" w:hAnsi="Times New Roman" w:cs="Times New Roman"/>
          <w:i/>
          <w:iCs/>
        </w:rPr>
        <w:t>Vanity Fair</w:t>
      </w:r>
      <w:r w:rsidR="00690B97" w:rsidRPr="00255B96">
        <w:rPr>
          <w:rFonts w:ascii="Times New Roman" w:hAnsi="Times New Roman" w:cs="Times New Roman"/>
        </w:rPr>
        <w:t>, at 384.</w:t>
      </w:r>
    </w:p>
    <w:p w14:paraId="48EEF387" w14:textId="77777777" w:rsidR="00EE7560" w:rsidRPr="00255B96" w:rsidRDefault="00EE7560" w:rsidP="00255B96">
      <w:pPr>
        <w:autoSpaceDE w:val="0"/>
        <w:autoSpaceDN w:val="0"/>
        <w:adjustRightInd w:val="0"/>
        <w:spacing w:after="0" w:line="276" w:lineRule="auto"/>
        <w:rPr>
          <w:rFonts w:ascii="Times New Roman" w:hAnsi="Times New Roman" w:cs="Times New Roman"/>
        </w:rPr>
      </w:pPr>
    </w:p>
    <w:p w14:paraId="5FE049D9" w14:textId="42EB0620" w:rsidR="00EE7560" w:rsidRPr="00255B96" w:rsidRDefault="00EE7560"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rPr>
        <w:t>A few states have limited settlement agreements that conceal “public hazards,” including Florida’s “Sunshine in Litigation Act” of 1990:</w:t>
      </w:r>
    </w:p>
    <w:p w14:paraId="4AFB129C" w14:textId="77777777" w:rsidR="00EE7560" w:rsidRPr="00255B96" w:rsidRDefault="00EE7560" w:rsidP="00255B96">
      <w:pPr>
        <w:autoSpaceDE w:val="0"/>
        <w:autoSpaceDN w:val="0"/>
        <w:adjustRightInd w:val="0"/>
        <w:spacing w:after="0" w:line="276" w:lineRule="auto"/>
        <w:rPr>
          <w:rFonts w:ascii="Times New Roman" w:hAnsi="Times New Roman" w:cs="Times New Roman"/>
        </w:rPr>
      </w:pPr>
    </w:p>
    <w:p w14:paraId="03C90AD0" w14:textId="77777777" w:rsidR="00EE7560" w:rsidRPr="00255B96" w:rsidRDefault="00EE7560" w:rsidP="00255B96">
      <w:pPr>
        <w:spacing w:line="276" w:lineRule="auto"/>
        <w:ind w:left="1080" w:right="1080"/>
        <w:rPr>
          <w:rStyle w:val="text"/>
          <w:rFonts w:ascii="Times New Roman" w:hAnsi="Times New Roman" w:cs="Times New Roman"/>
        </w:rPr>
      </w:pPr>
      <w:r w:rsidRPr="00255B96">
        <w:rPr>
          <w:rStyle w:val="text"/>
          <w:rFonts w:ascii="Times New Roman" w:hAnsi="Times New Roman" w:cs="Times New Roman"/>
        </w:rPr>
        <w:t>Any portion of an agreement or contract which has the purpose or effect of concealing a public hazard, any information concerning a public hazard, or any information which may be useful to members of the public in protecting themselves from injury which may result from the public hazard, is void, contrary to public policy, and may not be enforced.</w:t>
      </w:r>
    </w:p>
    <w:p w14:paraId="52B08EAD" w14:textId="77777777" w:rsidR="00EE7560" w:rsidRPr="00255B96" w:rsidRDefault="00EE7560" w:rsidP="00255B96">
      <w:pPr>
        <w:spacing w:line="276" w:lineRule="auto"/>
        <w:ind w:left="1080" w:right="1080"/>
        <w:rPr>
          <w:rStyle w:val="text"/>
          <w:rFonts w:ascii="Times New Roman" w:hAnsi="Times New Roman" w:cs="Times New Roman"/>
        </w:rPr>
      </w:pPr>
      <w:r w:rsidRPr="00255B96">
        <w:rPr>
          <w:rStyle w:val="text"/>
          <w:rFonts w:ascii="Times New Roman" w:hAnsi="Times New Roman" w:cs="Times New Roman"/>
        </w:rPr>
        <w:t>As used in this section, “public hazard” means an instrumentality, including but not limited to any device, instrument, person, procedure, product, or a condition of a device, instrument, person, procedure or product, that has caused and is likely to cause injury.</w:t>
      </w:r>
    </w:p>
    <w:p w14:paraId="5A5E56C4" w14:textId="40B4197F" w:rsidR="00EE7560" w:rsidRPr="00255B96" w:rsidRDefault="00EE7560" w:rsidP="00255B96">
      <w:pPr>
        <w:spacing w:line="276" w:lineRule="auto"/>
        <w:rPr>
          <w:rStyle w:val="text"/>
          <w:rFonts w:ascii="Times New Roman" w:hAnsi="Times New Roman" w:cs="Times New Roman"/>
        </w:rPr>
      </w:pPr>
      <w:r w:rsidRPr="00255B96">
        <w:rPr>
          <w:rStyle w:val="text"/>
          <w:rFonts w:ascii="Times New Roman" w:hAnsi="Times New Roman" w:cs="Times New Roman"/>
        </w:rPr>
        <w:t>Fl. Stat. § 69.081(4), (2).</w:t>
      </w:r>
      <w:r w:rsidR="00B81FD3" w:rsidRPr="00255B96">
        <w:rPr>
          <w:rStyle w:val="text"/>
          <w:rFonts w:ascii="Times New Roman" w:hAnsi="Times New Roman" w:cs="Times New Roman"/>
        </w:rPr>
        <w:t xml:space="preserve">  Recidivist sex offenders indisputably being “public hazards,” Florida’s approach shows promise. </w:t>
      </w:r>
    </w:p>
    <w:p w14:paraId="405589B7" w14:textId="24978C12" w:rsidR="00BD4300" w:rsidRPr="00255B96" w:rsidRDefault="00B81FD3"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rPr>
        <w:t>After Michael Jackson’s successful curtailment of criminal charges in the early 1990s using a civil settlement agreement with his victim, the next wave of debate over such agreements came with t</w:t>
      </w:r>
      <w:r w:rsidR="00770948" w:rsidRPr="00255B96">
        <w:rPr>
          <w:rFonts w:ascii="Times New Roman" w:hAnsi="Times New Roman" w:cs="Times New Roman"/>
        </w:rPr>
        <w:t xml:space="preserve">he clergy abuse litigation after the Catholic Church’s widespread practice of </w:t>
      </w:r>
      <w:r w:rsidR="007A2F20" w:rsidRPr="00255B96">
        <w:rPr>
          <w:rFonts w:ascii="Times New Roman" w:hAnsi="Times New Roman" w:cs="Times New Roman"/>
        </w:rPr>
        <w:t xml:space="preserve">paying victims to remain silent while </w:t>
      </w:r>
      <w:r w:rsidR="00770948" w:rsidRPr="00255B96">
        <w:rPr>
          <w:rFonts w:ascii="Times New Roman" w:hAnsi="Times New Roman" w:cs="Times New Roman"/>
        </w:rPr>
        <w:t xml:space="preserve">moving child-molesting priests to other parishes or dioceses to avoid </w:t>
      </w:r>
      <w:r w:rsidR="007A2F20" w:rsidRPr="00255B96">
        <w:rPr>
          <w:rFonts w:ascii="Times New Roman" w:hAnsi="Times New Roman" w:cs="Times New Roman"/>
        </w:rPr>
        <w:t>scandal and prosecution was exposed.  The outcry over these practices eventually led the United States Conference of Catholic Bishops to approve the “Charter for the Protection of Children and Young People” in 2005, which included the following provision:</w:t>
      </w:r>
    </w:p>
    <w:p w14:paraId="7DEE90B1" w14:textId="4F02FA9F" w:rsidR="00D308F9" w:rsidRPr="00255B96" w:rsidRDefault="007A2F20" w:rsidP="00255B96">
      <w:pPr>
        <w:autoSpaceDE w:val="0"/>
        <w:autoSpaceDN w:val="0"/>
        <w:adjustRightInd w:val="0"/>
        <w:spacing w:after="0" w:line="276" w:lineRule="auto"/>
        <w:rPr>
          <w:rFonts w:ascii="Times New Roman" w:hAnsi="Times New Roman" w:cs="Times New Roman"/>
        </w:rPr>
      </w:pPr>
      <w:r w:rsidRPr="00255B96">
        <w:rPr>
          <w:rFonts w:ascii="Times New Roman" w:hAnsi="Times New Roman" w:cs="Times New Roman"/>
        </w:rPr>
        <w:t xml:space="preserve">  </w:t>
      </w:r>
      <w:r w:rsidR="00770948" w:rsidRPr="00255B96">
        <w:rPr>
          <w:rFonts w:ascii="Times New Roman" w:hAnsi="Times New Roman" w:cs="Times New Roman"/>
        </w:rPr>
        <w:t xml:space="preserve"> </w:t>
      </w:r>
    </w:p>
    <w:p w14:paraId="1EBCFA84" w14:textId="66EFDA83" w:rsidR="00770948" w:rsidRPr="00255B96" w:rsidRDefault="007A2F20" w:rsidP="00255B96">
      <w:pPr>
        <w:spacing w:line="276" w:lineRule="auto"/>
        <w:ind w:left="1080" w:right="1080"/>
        <w:rPr>
          <w:rFonts w:ascii="Times New Roman" w:hAnsi="Times New Roman" w:cs="Times New Roman"/>
        </w:rPr>
      </w:pPr>
      <w:r w:rsidRPr="00255B96">
        <w:rPr>
          <w:rFonts w:ascii="Times New Roman" w:hAnsi="Times New Roman" w:cs="Times New Roman"/>
          <w:b/>
          <w:bCs/>
        </w:rPr>
        <w:t xml:space="preserve">ARTICLE 3. </w:t>
      </w:r>
      <w:r w:rsidRPr="00255B96">
        <w:rPr>
          <w:rFonts w:ascii="Times New Roman" w:hAnsi="Times New Roman" w:cs="Times New Roman"/>
        </w:rPr>
        <w:t>Dioceses/eparchies are not to enter into settlements which bind the parties to confidentiality unless the victim/survivor requests confidentiality and this request is noted in the text of the agreement.</w:t>
      </w:r>
    </w:p>
    <w:p w14:paraId="7302ED2D" w14:textId="5BA23B9B" w:rsidR="009404E7" w:rsidRPr="00255B96" w:rsidRDefault="00770948" w:rsidP="00255B96">
      <w:pPr>
        <w:spacing w:line="276" w:lineRule="auto"/>
        <w:rPr>
          <w:rFonts w:ascii="Times New Roman" w:hAnsi="Times New Roman" w:cs="Times New Roman"/>
        </w:rPr>
      </w:pPr>
      <w:r w:rsidRPr="00255B96">
        <w:rPr>
          <w:rFonts w:ascii="Times New Roman" w:hAnsi="Times New Roman" w:cs="Times New Roman"/>
        </w:rPr>
        <w:t xml:space="preserve">But </w:t>
      </w:r>
      <w:r w:rsidR="00BD4300" w:rsidRPr="00255B96">
        <w:rPr>
          <w:rFonts w:ascii="Times New Roman" w:hAnsi="Times New Roman" w:cs="Times New Roman"/>
        </w:rPr>
        <w:t xml:space="preserve">it was a confluence of celebrity sexual misconduct, led by the likes of Bill Cosby, Harvey Weinstein, Matt Lauer, Bill O’Reilly, R. Kelly, and dozens of others, that </w:t>
      </w:r>
      <w:r w:rsidR="00951DBF" w:rsidRPr="00255B96">
        <w:rPr>
          <w:rFonts w:ascii="Times New Roman" w:hAnsi="Times New Roman" w:cs="Times New Roman"/>
        </w:rPr>
        <w:t xml:space="preserve">has recently </w:t>
      </w:r>
      <w:r w:rsidR="00BD4300" w:rsidRPr="00255B96">
        <w:rPr>
          <w:rFonts w:ascii="Times New Roman" w:hAnsi="Times New Roman" w:cs="Times New Roman"/>
        </w:rPr>
        <w:t>brought the subject of secret settlements to the forefront of popular media.</w:t>
      </w:r>
      <w:r w:rsidR="00D478DC" w:rsidRPr="00255B96">
        <w:rPr>
          <w:rFonts w:ascii="Times New Roman" w:hAnsi="Times New Roman" w:cs="Times New Roman"/>
        </w:rPr>
        <w:t xml:space="preserve">  The wave of legislation and policy changes that has followed is likely to make i</w:t>
      </w:r>
      <w:r w:rsidR="00951DBF" w:rsidRPr="00255B96">
        <w:rPr>
          <w:rFonts w:ascii="Times New Roman" w:hAnsi="Times New Roman" w:cs="Times New Roman"/>
        </w:rPr>
        <w:t>t</w:t>
      </w:r>
      <w:r w:rsidR="00D478DC" w:rsidRPr="00255B96">
        <w:rPr>
          <w:rFonts w:ascii="Times New Roman" w:hAnsi="Times New Roman" w:cs="Times New Roman"/>
        </w:rPr>
        <w:t xml:space="preserve"> more difficult – and even illegal in some states </w:t>
      </w:r>
      <w:r w:rsidR="00725BBC" w:rsidRPr="00255B96">
        <w:rPr>
          <w:rFonts w:ascii="Times New Roman" w:hAnsi="Times New Roman" w:cs="Times New Roman"/>
        </w:rPr>
        <w:t>–</w:t>
      </w:r>
      <w:r w:rsidR="00D478DC" w:rsidRPr="00255B96">
        <w:rPr>
          <w:rFonts w:ascii="Times New Roman" w:hAnsi="Times New Roman" w:cs="Times New Roman"/>
        </w:rPr>
        <w:t xml:space="preserve"> to strong-arm crime victims </w:t>
      </w:r>
      <w:r w:rsidR="00D478DC" w:rsidRPr="00255B96">
        <w:rPr>
          <w:rFonts w:ascii="Times New Roman" w:hAnsi="Times New Roman" w:cs="Times New Roman"/>
        </w:rPr>
        <w:lastRenderedPageBreak/>
        <w:t>into keeping quiet as a condition of settlement.</w:t>
      </w:r>
      <w:r w:rsidR="00725BBC" w:rsidRPr="00255B96">
        <w:rPr>
          <w:rFonts w:ascii="Times New Roman" w:hAnsi="Times New Roman" w:cs="Times New Roman"/>
        </w:rPr>
        <w:t xml:space="preserve">  And that is as it should be.  </w:t>
      </w:r>
      <w:r w:rsidR="009404E7" w:rsidRPr="00255B96">
        <w:rPr>
          <w:rFonts w:ascii="Times New Roman" w:hAnsi="Times New Roman" w:cs="Times New Roman"/>
        </w:rPr>
        <w:t xml:space="preserve">Secret settlements </w:t>
      </w:r>
      <w:r w:rsidR="00951DBF" w:rsidRPr="00255B96">
        <w:rPr>
          <w:rFonts w:ascii="Times New Roman" w:hAnsi="Times New Roman" w:cs="Times New Roman"/>
        </w:rPr>
        <w:t xml:space="preserve">serve as a mechanism </w:t>
      </w:r>
      <w:r w:rsidR="00B81FD3" w:rsidRPr="00255B96">
        <w:rPr>
          <w:rFonts w:ascii="Times New Roman" w:hAnsi="Times New Roman" w:cs="Times New Roman"/>
        </w:rPr>
        <w:t>for</w:t>
      </w:r>
      <w:r w:rsidR="00951DBF" w:rsidRPr="00255B96">
        <w:rPr>
          <w:rFonts w:ascii="Times New Roman" w:hAnsi="Times New Roman" w:cs="Times New Roman"/>
        </w:rPr>
        <w:t xml:space="preserve"> preventing wrongdoing from coming to light, and they limit victims’ free speech.  They </w:t>
      </w:r>
      <w:r w:rsidR="009404E7" w:rsidRPr="00255B96">
        <w:rPr>
          <w:rFonts w:ascii="Times New Roman" w:hAnsi="Times New Roman" w:cs="Times New Roman"/>
        </w:rPr>
        <w:t>prevent the public from knowing that a person or institution is dangerous to others</w:t>
      </w:r>
      <w:r w:rsidR="00A67A2A" w:rsidRPr="00255B96">
        <w:rPr>
          <w:rFonts w:ascii="Times New Roman" w:hAnsi="Times New Roman" w:cs="Times New Roman"/>
        </w:rPr>
        <w:t>.  T</w:t>
      </w:r>
      <w:r w:rsidR="00951DBF" w:rsidRPr="00255B96">
        <w:rPr>
          <w:rFonts w:ascii="Times New Roman" w:hAnsi="Times New Roman" w:cs="Times New Roman"/>
        </w:rPr>
        <w:t xml:space="preserve">hey </w:t>
      </w:r>
      <w:r w:rsidR="00725BBC" w:rsidRPr="00255B96">
        <w:rPr>
          <w:rFonts w:ascii="Times New Roman" w:hAnsi="Times New Roman" w:cs="Times New Roman"/>
        </w:rPr>
        <w:t>prevent or interfere with the prosecution of criminal acts</w:t>
      </w:r>
      <w:r w:rsidR="00A67A2A" w:rsidRPr="00255B96">
        <w:rPr>
          <w:rFonts w:ascii="Times New Roman" w:hAnsi="Times New Roman" w:cs="Times New Roman"/>
        </w:rPr>
        <w:t>.  T</w:t>
      </w:r>
      <w:r w:rsidR="00951DBF" w:rsidRPr="00255B96">
        <w:rPr>
          <w:rFonts w:ascii="Times New Roman" w:hAnsi="Times New Roman" w:cs="Times New Roman"/>
        </w:rPr>
        <w:t xml:space="preserve">hey </w:t>
      </w:r>
      <w:r w:rsidR="00725BBC" w:rsidRPr="00255B96">
        <w:rPr>
          <w:rFonts w:ascii="Times New Roman" w:hAnsi="Times New Roman" w:cs="Times New Roman"/>
        </w:rPr>
        <w:t xml:space="preserve">allow dangerous persons to continue their predatory behavior.  </w:t>
      </w:r>
      <w:r w:rsidR="00A67A2A" w:rsidRPr="00255B96">
        <w:rPr>
          <w:rFonts w:ascii="Times New Roman" w:hAnsi="Times New Roman" w:cs="Times New Roman"/>
        </w:rPr>
        <w:t>And, w</w:t>
      </w:r>
      <w:r w:rsidR="00725BBC" w:rsidRPr="00255B96">
        <w:rPr>
          <w:rFonts w:ascii="Times New Roman" w:hAnsi="Times New Roman" w:cs="Times New Roman"/>
        </w:rPr>
        <w:t>hen public officials’ criminal acts are concealed by secret settlements, a fraud is perpetrated on the public they serve.</w:t>
      </w:r>
      <w:bookmarkStart w:id="0" w:name="_GoBack"/>
      <w:bookmarkEnd w:id="0"/>
    </w:p>
    <w:p w14:paraId="79D58910" w14:textId="0FF83043" w:rsidR="00E66520" w:rsidRPr="00255B96" w:rsidRDefault="00E66520" w:rsidP="00255B96">
      <w:pPr>
        <w:spacing w:line="276" w:lineRule="auto"/>
        <w:rPr>
          <w:rFonts w:ascii="Times New Roman" w:hAnsi="Times New Roman" w:cs="Times New Roman"/>
        </w:rPr>
      </w:pPr>
    </w:p>
    <w:p w14:paraId="3F604126" w14:textId="67A935B1" w:rsidR="00E66520" w:rsidRPr="00255B96" w:rsidRDefault="00E66520" w:rsidP="00255B96">
      <w:pPr>
        <w:spacing w:line="276" w:lineRule="auto"/>
        <w:rPr>
          <w:rFonts w:ascii="Times New Roman" w:hAnsi="Times New Roman" w:cs="Times New Roman"/>
          <w:b/>
          <w:bCs/>
        </w:rPr>
      </w:pPr>
      <w:r w:rsidRPr="00255B96">
        <w:rPr>
          <w:rFonts w:ascii="Times New Roman" w:hAnsi="Times New Roman" w:cs="Times New Roman"/>
          <w:b/>
          <w:bCs/>
        </w:rPr>
        <w:t>Bios:</w:t>
      </w:r>
    </w:p>
    <w:p w14:paraId="2652CA97" w14:textId="7E2F3696" w:rsidR="00E66520" w:rsidRPr="00255B96" w:rsidRDefault="00E66520" w:rsidP="00255B96">
      <w:pPr>
        <w:pStyle w:val="NormalWeb"/>
        <w:spacing w:line="276" w:lineRule="auto"/>
        <w:rPr>
          <w:sz w:val="22"/>
          <w:szCs w:val="22"/>
        </w:rPr>
      </w:pPr>
      <w:r w:rsidRPr="00255B96">
        <w:rPr>
          <w:rStyle w:val="Strong"/>
          <w:sz w:val="22"/>
          <w:szCs w:val="22"/>
        </w:rPr>
        <w:t>Erin K. Olson</w:t>
      </w:r>
      <w:r w:rsidRPr="00255B96">
        <w:rPr>
          <w:bCs/>
          <w:sz w:val="22"/>
          <w:szCs w:val="22"/>
        </w:rPr>
        <w:t xml:space="preserve"> </w:t>
      </w:r>
      <w:r w:rsidR="00F04227" w:rsidRPr="00255B96">
        <w:rPr>
          <w:bCs/>
          <w:sz w:val="22"/>
          <w:szCs w:val="22"/>
        </w:rPr>
        <w:t xml:space="preserve">is a sole practitioner in Portland, Oregon, where she </w:t>
      </w:r>
      <w:r w:rsidRPr="00255B96">
        <w:rPr>
          <w:sz w:val="22"/>
          <w:szCs w:val="22"/>
        </w:rPr>
        <w:t xml:space="preserve">specializes in the representation of victims of child sexual abuse and elder abuse in both civil and criminal courts.  She is also a National Certified Guardian who serves as </w:t>
      </w:r>
      <w:proofErr w:type="gramStart"/>
      <w:r w:rsidRPr="00255B96">
        <w:rPr>
          <w:sz w:val="22"/>
          <w:szCs w:val="22"/>
        </w:rPr>
        <w:t xml:space="preserve">a guardian </w:t>
      </w:r>
      <w:r w:rsidRPr="00255B96">
        <w:rPr>
          <w:i/>
          <w:sz w:val="22"/>
          <w:szCs w:val="22"/>
        </w:rPr>
        <w:t>ad litem</w:t>
      </w:r>
      <w:proofErr w:type="gramEnd"/>
      <w:r w:rsidRPr="00255B96">
        <w:rPr>
          <w:sz w:val="22"/>
          <w:szCs w:val="22"/>
        </w:rPr>
        <w:t xml:space="preserve"> for children.</w:t>
      </w:r>
    </w:p>
    <w:p w14:paraId="5132C05F" w14:textId="77777777" w:rsidR="00E66520" w:rsidRPr="00255B96" w:rsidRDefault="00E66520" w:rsidP="00255B96">
      <w:pPr>
        <w:pStyle w:val="NormalWeb"/>
        <w:spacing w:line="276" w:lineRule="auto"/>
        <w:rPr>
          <w:sz w:val="22"/>
          <w:szCs w:val="22"/>
        </w:rPr>
      </w:pPr>
      <w:r w:rsidRPr="00255B96">
        <w:rPr>
          <w:sz w:val="22"/>
          <w:szCs w:val="22"/>
        </w:rPr>
        <w:t xml:space="preserve">Ms. Olson spent the first ten years of her legal career as a prosecutor, working for the Multnomah County District Attorney’s Office, the United States Attorney’s Office for the District of Oregon, and the Massachusetts Attorney General’s Office. </w:t>
      </w:r>
    </w:p>
    <w:p w14:paraId="230ADB39" w14:textId="2EE0D5FC" w:rsidR="00E66520" w:rsidRPr="00255B96" w:rsidRDefault="00E66520" w:rsidP="00255B96">
      <w:pPr>
        <w:pStyle w:val="NormalWeb"/>
        <w:spacing w:line="276" w:lineRule="auto"/>
        <w:rPr>
          <w:sz w:val="22"/>
          <w:szCs w:val="22"/>
        </w:rPr>
      </w:pPr>
      <w:r w:rsidRPr="00255B96">
        <w:rPr>
          <w:sz w:val="22"/>
          <w:szCs w:val="22"/>
        </w:rPr>
        <w:t xml:space="preserve">She is a co-founder and board member of the Oregon Crime Victims Law Center, and is a past president and member of the Advisory Board of the National Crime Victim Bar Association. </w:t>
      </w:r>
    </w:p>
    <w:p w14:paraId="7288E3F5" w14:textId="58BD9F7B" w:rsidR="00E66520" w:rsidRPr="00255B96" w:rsidRDefault="00E66520" w:rsidP="00255B96">
      <w:pPr>
        <w:pStyle w:val="NormalWeb"/>
        <w:spacing w:line="276" w:lineRule="auto"/>
        <w:rPr>
          <w:sz w:val="22"/>
          <w:szCs w:val="22"/>
        </w:rPr>
      </w:pPr>
      <w:r w:rsidRPr="00255B96">
        <w:rPr>
          <w:sz w:val="22"/>
          <w:szCs w:val="22"/>
        </w:rPr>
        <w:t>Ms. Olson was raised in Madras, Oregon, and has a B.A. from Stanford University</w:t>
      </w:r>
      <w:r w:rsidR="00F04227" w:rsidRPr="00255B96">
        <w:rPr>
          <w:sz w:val="22"/>
          <w:szCs w:val="22"/>
        </w:rPr>
        <w:t xml:space="preserve"> (1986)</w:t>
      </w:r>
      <w:r w:rsidRPr="00255B96">
        <w:rPr>
          <w:sz w:val="22"/>
          <w:szCs w:val="22"/>
        </w:rPr>
        <w:t>, an M.S. in Criminal Justice from Northeastern University</w:t>
      </w:r>
      <w:r w:rsidR="00F04227" w:rsidRPr="00255B96">
        <w:rPr>
          <w:sz w:val="22"/>
          <w:szCs w:val="22"/>
        </w:rPr>
        <w:t xml:space="preserve"> (2000)</w:t>
      </w:r>
      <w:r w:rsidRPr="00255B96">
        <w:rPr>
          <w:sz w:val="22"/>
          <w:szCs w:val="22"/>
        </w:rPr>
        <w:t>, and a J.D. from the University of Connecticut</w:t>
      </w:r>
      <w:r w:rsidR="00F04227" w:rsidRPr="00255B96">
        <w:rPr>
          <w:sz w:val="22"/>
          <w:szCs w:val="22"/>
        </w:rPr>
        <w:t xml:space="preserve"> (1993)</w:t>
      </w:r>
      <w:r w:rsidRPr="00255B96">
        <w:rPr>
          <w:sz w:val="22"/>
          <w:szCs w:val="22"/>
        </w:rPr>
        <w:t>.</w:t>
      </w:r>
    </w:p>
    <w:p w14:paraId="11BC8158" w14:textId="1D578E83" w:rsidR="00E66520" w:rsidRPr="00255B96" w:rsidRDefault="00E66520" w:rsidP="00255B96">
      <w:pPr>
        <w:pStyle w:val="NormalWeb"/>
        <w:spacing w:line="276" w:lineRule="auto"/>
        <w:rPr>
          <w:sz w:val="22"/>
          <w:szCs w:val="22"/>
        </w:rPr>
      </w:pPr>
      <w:r w:rsidRPr="00255B96">
        <w:rPr>
          <w:b/>
          <w:bCs/>
          <w:sz w:val="22"/>
          <w:szCs w:val="22"/>
        </w:rPr>
        <w:t xml:space="preserve">Jerry O’Neill </w:t>
      </w:r>
      <w:r w:rsidRPr="00255B96">
        <w:rPr>
          <w:sz w:val="22"/>
          <w:szCs w:val="22"/>
        </w:rPr>
        <w:t xml:space="preserve">is a partner with the law firm of </w:t>
      </w:r>
      <w:r w:rsidR="00ED0EC0" w:rsidRPr="00255B96">
        <w:rPr>
          <w:sz w:val="22"/>
          <w:szCs w:val="22"/>
        </w:rPr>
        <w:t xml:space="preserve">Gravel &amp; Shea </w:t>
      </w:r>
      <w:r w:rsidRPr="00255B96">
        <w:rPr>
          <w:sz w:val="22"/>
          <w:szCs w:val="22"/>
        </w:rPr>
        <w:t>in Burlington, Vermont.  H</w:t>
      </w:r>
      <w:r w:rsidR="00ED0EC0" w:rsidRPr="00255B96">
        <w:rPr>
          <w:sz w:val="22"/>
          <w:szCs w:val="22"/>
        </w:rPr>
        <w:t>is practice areas include crime victim</w:t>
      </w:r>
      <w:r w:rsidR="00450CC1" w:rsidRPr="00255B96">
        <w:rPr>
          <w:sz w:val="22"/>
          <w:szCs w:val="22"/>
        </w:rPr>
        <w:t xml:space="preserve"> representation include sexual abuse victims</w:t>
      </w:r>
      <w:r w:rsidR="00ED0EC0" w:rsidRPr="00255B96">
        <w:rPr>
          <w:sz w:val="22"/>
          <w:szCs w:val="22"/>
        </w:rPr>
        <w:t xml:space="preserve">, general business litigation, and products liability and personal injury litigation.  He was admitted to the District of Columbia Bar in 1971. After a period of service in 1971-1972 as an active duty U.S. Army Officer, he was a law clerk to the Honorable Sylvia Bacon, a Judge of the District of Columbia Superior Court in 1972. He then clerked for Vermont U.S. District Court Judge Albert W. </w:t>
      </w:r>
      <w:proofErr w:type="spellStart"/>
      <w:r w:rsidR="00ED0EC0" w:rsidRPr="00255B96">
        <w:rPr>
          <w:sz w:val="22"/>
          <w:szCs w:val="22"/>
        </w:rPr>
        <w:t>Coffrin</w:t>
      </w:r>
      <w:proofErr w:type="spellEnd"/>
      <w:r w:rsidR="00ED0EC0" w:rsidRPr="00255B96">
        <w:rPr>
          <w:sz w:val="22"/>
          <w:szCs w:val="22"/>
        </w:rPr>
        <w:t xml:space="preserve"> in 1972-73. In 1973 he joined the U.S. Attorney’s Office for the District of Vermont in Rutland as an Assistant U.S. Attorney.  He became the First Assistant U.S. Attorney in 1975, moving to Burlington to open the office there in 1976.  He served as First Assistant U.S. Attorney until May 1981 when the U.S. District Court Judges for the District of Vermont appointed him U.S. Attorney for the District of Vermont.  Since 1981 he has been in private practice in Burlington and was the senior partner of O’Neill Kellner &amp; Green for 26 years.  He teaches on trial advocacy topics for the American Association for Justice throughout the United States.</w:t>
      </w:r>
      <w:r w:rsidRPr="00255B96">
        <w:rPr>
          <w:sz w:val="22"/>
          <w:szCs w:val="22"/>
        </w:rPr>
        <w:t xml:space="preserve"> </w:t>
      </w:r>
    </w:p>
    <w:p w14:paraId="779F299F" w14:textId="0912E37B" w:rsidR="00E66520" w:rsidRPr="00255B96" w:rsidRDefault="00E66520" w:rsidP="00255B96">
      <w:pPr>
        <w:pStyle w:val="NormalWeb"/>
        <w:spacing w:line="276" w:lineRule="auto"/>
        <w:rPr>
          <w:sz w:val="22"/>
          <w:szCs w:val="22"/>
        </w:rPr>
      </w:pPr>
      <w:r w:rsidRPr="00255B96">
        <w:rPr>
          <w:sz w:val="22"/>
          <w:szCs w:val="22"/>
        </w:rPr>
        <w:t>Jerry is a past president and member of the Advisory Board of the National Crime Victim Bar Association</w:t>
      </w:r>
      <w:r w:rsidR="00ED0EC0" w:rsidRPr="00255B96">
        <w:rPr>
          <w:sz w:val="22"/>
          <w:szCs w:val="22"/>
        </w:rPr>
        <w:t>; a member of the American Association for Justice</w:t>
      </w:r>
      <w:r w:rsidR="00450CC1" w:rsidRPr="00255B96">
        <w:rPr>
          <w:sz w:val="22"/>
          <w:szCs w:val="22"/>
        </w:rPr>
        <w:t xml:space="preserve">, </w:t>
      </w:r>
      <w:r w:rsidR="00ED0EC0" w:rsidRPr="00255B96">
        <w:rPr>
          <w:sz w:val="22"/>
          <w:szCs w:val="22"/>
        </w:rPr>
        <w:t>Chair of its Child Sex Abuse Litigation Group</w:t>
      </w:r>
      <w:r w:rsidR="00450CC1" w:rsidRPr="00255B96">
        <w:rPr>
          <w:sz w:val="22"/>
          <w:szCs w:val="22"/>
        </w:rPr>
        <w:t>,</w:t>
      </w:r>
      <w:r w:rsidR="00ED0EC0" w:rsidRPr="00255B96">
        <w:rPr>
          <w:sz w:val="22"/>
          <w:szCs w:val="22"/>
        </w:rPr>
        <w:t xml:space="preserve"> and Co-Chair of its Jury Bias Litigation Group; past president and board member of the Vermont Association for Justice</w:t>
      </w:r>
      <w:r w:rsidR="00450CC1" w:rsidRPr="00255B96">
        <w:rPr>
          <w:sz w:val="22"/>
          <w:szCs w:val="22"/>
        </w:rPr>
        <w:t xml:space="preserve">; member of the U.S. District Court Advisory Committee; board </w:t>
      </w:r>
      <w:r w:rsidR="00ED0EC0" w:rsidRPr="00255B96">
        <w:rPr>
          <w:sz w:val="22"/>
          <w:szCs w:val="22"/>
        </w:rPr>
        <w:t>member of the Vermont Center for Crime Victim Services</w:t>
      </w:r>
      <w:r w:rsidR="00450CC1" w:rsidRPr="00255B96">
        <w:rPr>
          <w:sz w:val="22"/>
          <w:szCs w:val="22"/>
        </w:rPr>
        <w:t xml:space="preserve">; and a member of the </w:t>
      </w:r>
      <w:r w:rsidR="00ED0EC0" w:rsidRPr="00255B96">
        <w:rPr>
          <w:sz w:val="22"/>
          <w:szCs w:val="22"/>
        </w:rPr>
        <w:t>Ch</w:t>
      </w:r>
      <w:r w:rsidR="00450CC1" w:rsidRPr="00255B96">
        <w:rPr>
          <w:sz w:val="22"/>
          <w:szCs w:val="22"/>
        </w:rPr>
        <w:t xml:space="preserve">ittenden County, Vermont, and </w:t>
      </w:r>
      <w:r w:rsidR="00450CC1" w:rsidRPr="00255B96">
        <w:rPr>
          <w:sz w:val="22"/>
          <w:szCs w:val="22"/>
        </w:rPr>
        <w:lastRenderedPageBreak/>
        <w:t>American Bar Associations.  He is a 1968 graduate of Georgetown University and a 1971 graduate of Georgetown University Law Center.</w:t>
      </w:r>
    </w:p>
    <w:sectPr w:rsidR="00E66520" w:rsidRPr="0025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enir Next Demi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F9"/>
    <w:rsid w:val="00136AD7"/>
    <w:rsid w:val="00255B96"/>
    <w:rsid w:val="002F1A31"/>
    <w:rsid w:val="00303421"/>
    <w:rsid w:val="00435AF7"/>
    <w:rsid w:val="00450CC1"/>
    <w:rsid w:val="00457478"/>
    <w:rsid w:val="00494FF6"/>
    <w:rsid w:val="00533A35"/>
    <w:rsid w:val="00690B97"/>
    <w:rsid w:val="006A041B"/>
    <w:rsid w:val="00700C92"/>
    <w:rsid w:val="00711D60"/>
    <w:rsid w:val="00725BBC"/>
    <w:rsid w:val="00770948"/>
    <w:rsid w:val="007A0419"/>
    <w:rsid w:val="007A2F20"/>
    <w:rsid w:val="009404E7"/>
    <w:rsid w:val="00951DBF"/>
    <w:rsid w:val="009C6EC9"/>
    <w:rsid w:val="00A67A2A"/>
    <w:rsid w:val="00AC4F35"/>
    <w:rsid w:val="00B81FD3"/>
    <w:rsid w:val="00BD4300"/>
    <w:rsid w:val="00C136E7"/>
    <w:rsid w:val="00D308F9"/>
    <w:rsid w:val="00D478DC"/>
    <w:rsid w:val="00D63234"/>
    <w:rsid w:val="00D860AC"/>
    <w:rsid w:val="00DA57F9"/>
    <w:rsid w:val="00E66520"/>
    <w:rsid w:val="00E73C85"/>
    <w:rsid w:val="00ED0EC0"/>
    <w:rsid w:val="00EE7560"/>
    <w:rsid w:val="00F04227"/>
    <w:rsid w:val="00FE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3FF5"/>
  <w15:chartTrackingRefBased/>
  <w15:docId w15:val="{12CD6A18-B0E7-4C8D-81F8-BE6B3A6E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0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A04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8F9"/>
    <w:pPr>
      <w:autoSpaceDE w:val="0"/>
      <w:autoSpaceDN w:val="0"/>
      <w:adjustRightInd w:val="0"/>
      <w:spacing w:after="0" w:line="240" w:lineRule="auto"/>
    </w:pPr>
    <w:rPr>
      <w:rFonts w:ascii="Avenir Next Demi Bold" w:hAnsi="Avenir Next Demi Bold" w:cs="Avenir Next Demi Bold"/>
      <w:color w:val="000000"/>
      <w:sz w:val="24"/>
      <w:szCs w:val="24"/>
    </w:rPr>
  </w:style>
  <w:style w:type="character" w:customStyle="1" w:styleId="A7">
    <w:name w:val="A7"/>
    <w:uiPriority w:val="99"/>
    <w:rsid w:val="00D308F9"/>
    <w:rPr>
      <w:rFonts w:cs="Avenir Next Demi Bold"/>
      <w:b/>
      <w:bCs/>
      <w:color w:val="000000"/>
      <w:sz w:val="28"/>
      <w:szCs w:val="28"/>
    </w:rPr>
  </w:style>
  <w:style w:type="paragraph" w:styleId="NormalWeb">
    <w:name w:val="Normal (Web)"/>
    <w:basedOn w:val="Normal"/>
    <w:uiPriority w:val="99"/>
    <w:unhideWhenUsed/>
    <w:rsid w:val="00C136E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13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6E7"/>
    <w:rPr>
      <w:sz w:val="20"/>
      <w:szCs w:val="20"/>
    </w:rPr>
  </w:style>
  <w:style w:type="character" w:customStyle="1" w:styleId="Heading1Char">
    <w:name w:val="Heading 1 Char"/>
    <w:basedOn w:val="DefaultParagraphFont"/>
    <w:link w:val="Heading1"/>
    <w:uiPriority w:val="9"/>
    <w:rsid w:val="00700C92"/>
    <w:rPr>
      <w:rFonts w:ascii="Times New Roman" w:eastAsia="Times New Roman" w:hAnsi="Times New Roman" w:cs="Times New Roman"/>
      <w:b/>
      <w:bCs/>
      <w:kern w:val="36"/>
      <w:sz w:val="48"/>
      <w:szCs w:val="48"/>
    </w:rPr>
  </w:style>
  <w:style w:type="character" w:customStyle="1" w:styleId="quiet">
    <w:name w:val="quiet"/>
    <w:basedOn w:val="DefaultParagraphFont"/>
    <w:rsid w:val="00700C92"/>
  </w:style>
  <w:style w:type="paragraph" w:customStyle="1" w:styleId="outlinelevel1">
    <w:name w:val="outline_level_1"/>
    <w:basedOn w:val="Normal"/>
    <w:rsid w:val="00700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700C92"/>
  </w:style>
  <w:style w:type="paragraph" w:styleId="ListParagraph">
    <w:name w:val="List Paragraph"/>
    <w:basedOn w:val="Normal"/>
    <w:uiPriority w:val="34"/>
    <w:qFormat/>
    <w:rsid w:val="00457478"/>
    <w:pPr>
      <w:ind w:left="720"/>
      <w:contextualSpacing/>
    </w:pPr>
  </w:style>
  <w:style w:type="paragraph" w:styleId="BalloonText">
    <w:name w:val="Balloon Text"/>
    <w:basedOn w:val="Normal"/>
    <w:link w:val="BalloonTextChar"/>
    <w:uiPriority w:val="99"/>
    <w:semiHidden/>
    <w:unhideWhenUsed/>
    <w:rsid w:val="00D47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8DC"/>
    <w:rPr>
      <w:rFonts w:ascii="Segoe UI" w:hAnsi="Segoe UI" w:cs="Segoe UI"/>
      <w:sz w:val="18"/>
      <w:szCs w:val="18"/>
    </w:rPr>
  </w:style>
  <w:style w:type="character" w:customStyle="1" w:styleId="Heading2Char">
    <w:name w:val="Heading 2 Char"/>
    <w:basedOn w:val="DefaultParagraphFont"/>
    <w:link w:val="Heading2"/>
    <w:uiPriority w:val="9"/>
    <w:semiHidden/>
    <w:rsid w:val="007A0419"/>
    <w:rPr>
      <w:rFonts w:asciiTheme="majorHAnsi" w:eastAsiaTheme="majorEastAsia" w:hAnsiTheme="majorHAnsi" w:cstheme="majorBidi"/>
      <w:color w:val="2F5496" w:themeColor="accent1" w:themeShade="BF"/>
      <w:sz w:val="26"/>
      <w:szCs w:val="26"/>
    </w:rPr>
  </w:style>
  <w:style w:type="character" w:customStyle="1" w:styleId="ssparalabel">
    <w:name w:val="ss_paralabel"/>
    <w:basedOn w:val="DefaultParagraphFont"/>
    <w:rsid w:val="007A0419"/>
  </w:style>
  <w:style w:type="character" w:customStyle="1" w:styleId="ssbf">
    <w:name w:val="ss_bf"/>
    <w:basedOn w:val="DefaultParagraphFont"/>
    <w:rsid w:val="007A0419"/>
  </w:style>
  <w:style w:type="character" w:customStyle="1" w:styleId="ssparacontent">
    <w:name w:val="ss_paracontent"/>
    <w:basedOn w:val="DefaultParagraphFont"/>
    <w:rsid w:val="007A0419"/>
  </w:style>
  <w:style w:type="character" w:styleId="Hyperlink">
    <w:name w:val="Hyperlink"/>
    <w:basedOn w:val="DefaultParagraphFont"/>
    <w:uiPriority w:val="99"/>
    <w:semiHidden/>
    <w:unhideWhenUsed/>
    <w:rsid w:val="007A0419"/>
    <w:rPr>
      <w:color w:val="0000FF"/>
      <w:u w:val="single"/>
    </w:rPr>
  </w:style>
  <w:style w:type="character" w:customStyle="1" w:styleId="text">
    <w:name w:val="text"/>
    <w:basedOn w:val="DefaultParagraphFont"/>
    <w:rsid w:val="00DA57F9"/>
  </w:style>
  <w:style w:type="character" w:styleId="Strong">
    <w:name w:val="Strong"/>
    <w:basedOn w:val="DefaultParagraphFont"/>
    <w:uiPriority w:val="22"/>
    <w:qFormat/>
    <w:rsid w:val="00E66520"/>
    <w:rPr>
      <w:b/>
      <w:bCs/>
    </w:rPr>
  </w:style>
  <w:style w:type="character" w:styleId="Emphasis">
    <w:name w:val="Emphasis"/>
    <w:basedOn w:val="DefaultParagraphFont"/>
    <w:uiPriority w:val="20"/>
    <w:qFormat/>
    <w:rsid w:val="00E665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0182">
      <w:bodyDiv w:val="1"/>
      <w:marLeft w:val="0"/>
      <w:marRight w:val="0"/>
      <w:marTop w:val="0"/>
      <w:marBottom w:val="0"/>
      <w:divBdr>
        <w:top w:val="none" w:sz="0" w:space="0" w:color="auto"/>
        <w:left w:val="none" w:sz="0" w:space="0" w:color="auto"/>
        <w:bottom w:val="none" w:sz="0" w:space="0" w:color="auto"/>
        <w:right w:val="none" w:sz="0" w:space="0" w:color="auto"/>
      </w:divBdr>
    </w:div>
    <w:div w:id="66269477">
      <w:bodyDiv w:val="1"/>
      <w:marLeft w:val="0"/>
      <w:marRight w:val="0"/>
      <w:marTop w:val="0"/>
      <w:marBottom w:val="0"/>
      <w:divBdr>
        <w:top w:val="none" w:sz="0" w:space="0" w:color="auto"/>
        <w:left w:val="none" w:sz="0" w:space="0" w:color="auto"/>
        <w:bottom w:val="none" w:sz="0" w:space="0" w:color="auto"/>
        <w:right w:val="none" w:sz="0" w:space="0" w:color="auto"/>
      </w:divBdr>
      <w:divsChild>
        <w:div w:id="1177380968">
          <w:marLeft w:val="0"/>
          <w:marRight w:val="0"/>
          <w:marTop w:val="0"/>
          <w:marBottom w:val="0"/>
          <w:divBdr>
            <w:top w:val="none" w:sz="0" w:space="0" w:color="auto"/>
            <w:left w:val="none" w:sz="0" w:space="0" w:color="auto"/>
            <w:bottom w:val="none" w:sz="0" w:space="0" w:color="auto"/>
            <w:right w:val="none" w:sz="0" w:space="0" w:color="auto"/>
          </w:divBdr>
        </w:div>
        <w:div w:id="1555581246">
          <w:marLeft w:val="0"/>
          <w:marRight w:val="0"/>
          <w:marTop w:val="0"/>
          <w:marBottom w:val="0"/>
          <w:divBdr>
            <w:top w:val="none" w:sz="0" w:space="0" w:color="auto"/>
            <w:left w:val="none" w:sz="0" w:space="0" w:color="auto"/>
            <w:bottom w:val="none" w:sz="0" w:space="0" w:color="auto"/>
            <w:right w:val="none" w:sz="0" w:space="0" w:color="auto"/>
          </w:divBdr>
          <w:divsChild>
            <w:div w:id="2116365879">
              <w:marLeft w:val="0"/>
              <w:marRight w:val="0"/>
              <w:marTop w:val="0"/>
              <w:marBottom w:val="0"/>
              <w:divBdr>
                <w:top w:val="none" w:sz="0" w:space="0" w:color="auto"/>
                <w:left w:val="none" w:sz="0" w:space="0" w:color="auto"/>
                <w:bottom w:val="none" w:sz="0" w:space="0" w:color="auto"/>
                <w:right w:val="none" w:sz="0" w:space="0" w:color="auto"/>
              </w:divBdr>
            </w:div>
            <w:div w:id="2070494438">
              <w:marLeft w:val="0"/>
              <w:marRight w:val="0"/>
              <w:marTop w:val="0"/>
              <w:marBottom w:val="0"/>
              <w:divBdr>
                <w:top w:val="none" w:sz="0" w:space="0" w:color="auto"/>
                <w:left w:val="none" w:sz="0" w:space="0" w:color="auto"/>
                <w:bottom w:val="none" w:sz="0" w:space="0" w:color="auto"/>
                <w:right w:val="none" w:sz="0" w:space="0" w:color="auto"/>
              </w:divBdr>
              <w:divsChild>
                <w:div w:id="205412674">
                  <w:marLeft w:val="0"/>
                  <w:marRight w:val="0"/>
                  <w:marTop w:val="0"/>
                  <w:marBottom w:val="0"/>
                  <w:divBdr>
                    <w:top w:val="none" w:sz="0" w:space="0" w:color="auto"/>
                    <w:left w:val="none" w:sz="0" w:space="0" w:color="auto"/>
                    <w:bottom w:val="none" w:sz="0" w:space="0" w:color="auto"/>
                    <w:right w:val="none" w:sz="0" w:space="0" w:color="auto"/>
                  </w:divBdr>
                </w:div>
                <w:div w:id="15113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40553">
          <w:marLeft w:val="0"/>
          <w:marRight w:val="0"/>
          <w:marTop w:val="0"/>
          <w:marBottom w:val="0"/>
          <w:divBdr>
            <w:top w:val="none" w:sz="0" w:space="0" w:color="auto"/>
            <w:left w:val="none" w:sz="0" w:space="0" w:color="auto"/>
            <w:bottom w:val="none" w:sz="0" w:space="0" w:color="auto"/>
            <w:right w:val="none" w:sz="0" w:space="0" w:color="auto"/>
          </w:divBdr>
        </w:div>
        <w:div w:id="2071466128">
          <w:marLeft w:val="0"/>
          <w:marRight w:val="0"/>
          <w:marTop w:val="0"/>
          <w:marBottom w:val="0"/>
          <w:divBdr>
            <w:top w:val="none" w:sz="0" w:space="0" w:color="auto"/>
            <w:left w:val="none" w:sz="0" w:space="0" w:color="auto"/>
            <w:bottom w:val="none" w:sz="0" w:space="0" w:color="auto"/>
            <w:right w:val="none" w:sz="0" w:space="0" w:color="auto"/>
          </w:divBdr>
          <w:divsChild>
            <w:div w:id="1354569781">
              <w:marLeft w:val="0"/>
              <w:marRight w:val="0"/>
              <w:marTop w:val="0"/>
              <w:marBottom w:val="0"/>
              <w:divBdr>
                <w:top w:val="none" w:sz="0" w:space="0" w:color="auto"/>
                <w:left w:val="none" w:sz="0" w:space="0" w:color="auto"/>
                <w:bottom w:val="none" w:sz="0" w:space="0" w:color="auto"/>
                <w:right w:val="none" w:sz="0" w:space="0" w:color="auto"/>
              </w:divBdr>
            </w:div>
            <w:div w:id="10052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709">
      <w:bodyDiv w:val="1"/>
      <w:marLeft w:val="0"/>
      <w:marRight w:val="0"/>
      <w:marTop w:val="0"/>
      <w:marBottom w:val="0"/>
      <w:divBdr>
        <w:top w:val="none" w:sz="0" w:space="0" w:color="auto"/>
        <w:left w:val="none" w:sz="0" w:space="0" w:color="auto"/>
        <w:bottom w:val="none" w:sz="0" w:space="0" w:color="auto"/>
        <w:right w:val="none" w:sz="0" w:space="0" w:color="auto"/>
      </w:divBdr>
    </w:div>
    <w:div w:id="1101612342">
      <w:bodyDiv w:val="1"/>
      <w:marLeft w:val="0"/>
      <w:marRight w:val="0"/>
      <w:marTop w:val="0"/>
      <w:marBottom w:val="0"/>
      <w:divBdr>
        <w:top w:val="none" w:sz="0" w:space="0" w:color="auto"/>
        <w:left w:val="none" w:sz="0" w:space="0" w:color="auto"/>
        <w:bottom w:val="none" w:sz="0" w:space="0" w:color="auto"/>
        <w:right w:val="none" w:sz="0" w:space="0" w:color="auto"/>
      </w:divBdr>
      <w:divsChild>
        <w:div w:id="797379967">
          <w:marLeft w:val="0"/>
          <w:marRight w:val="0"/>
          <w:marTop w:val="0"/>
          <w:marBottom w:val="0"/>
          <w:divBdr>
            <w:top w:val="none" w:sz="0" w:space="0" w:color="auto"/>
            <w:left w:val="none" w:sz="0" w:space="0" w:color="auto"/>
            <w:bottom w:val="none" w:sz="0" w:space="0" w:color="auto"/>
            <w:right w:val="none" w:sz="0" w:space="0" w:color="auto"/>
          </w:divBdr>
        </w:div>
      </w:divsChild>
    </w:div>
    <w:div w:id="1512380788">
      <w:bodyDiv w:val="1"/>
      <w:marLeft w:val="0"/>
      <w:marRight w:val="0"/>
      <w:marTop w:val="0"/>
      <w:marBottom w:val="0"/>
      <w:divBdr>
        <w:top w:val="none" w:sz="0" w:space="0" w:color="auto"/>
        <w:left w:val="none" w:sz="0" w:space="0" w:color="auto"/>
        <w:bottom w:val="none" w:sz="0" w:space="0" w:color="auto"/>
        <w:right w:val="none" w:sz="0" w:space="0" w:color="auto"/>
      </w:divBdr>
    </w:div>
    <w:div w:id="20809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search/?pdmfid=1000516&amp;crid=4139c707-3b63-4c83-8950-f1aaadecef30&amp;pdsearchterms=ors+17.095&amp;pdstartin=hlct%3A1%3A1&amp;pdtypeofsearch=searchboxclick&amp;pdsearchtype=SearchBox&amp;pdqttype=and&amp;pdquerytemplateid=&amp;ecomp=1gr9k&amp;prid=35cb7a1b-be86-4214-83bb-e36f76494c9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vance.lexis.com/search/?pdmfid=1000516&amp;crid=4139c707-3b63-4c83-8950-f1aaadecef30&amp;pdsearchterms=ors+17.095&amp;pdstartin=hlct%3A1%3A1&amp;pdtypeofsearch=searchboxclick&amp;pdsearchtype=SearchBox&amp;pdqttype=and&amp;pdquerytemplateid=&amp;ecomp=1gr9k&amp;prid=35cb7a1b-be86-4214-83bb-e36f76494c9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vance.lexis.com/search/?pdmfid=1000516&amp;crid=4139c707-3b63-4c83-8950-f1aaadecef30&amp;pdsearchterms=ors+17.095&amp;pdstartin=hlct%3A1%3A1&amp;pdtypeofsearch=searchboxclick&amp;pdsearchtype=SearchBox&amp;pdqttype=and&amp;pdquerytemplateid=&amp;ecomp=1gr9k&amp;prid=35cb7a1b-be86-4214-83bb-e36f76494c9c" TargetMode="External"/><Relationship Id="rId11" Type="http://schemas.openxmlformats.org/officeDocument/2006/relationships/hyperlink" Target="https://advance.lexis.com/search/?pdmfid=1000516&amp;crid=4139c707-3b63-4c83-8950-f1aaadecef30&amp;pdsearchterms=ors+17.095&amp;pdstartin=hlct%3A1%3A1&amp;pdtypeofsearch=searchboxclick&amp;pdsearchtype=SearchBox&amp;pdqttype=and&amp;pdquerytemplateid=&amp;ecomp=1gr9k&amp;prid=35cb7a1b-be86-4214-83bb-e36f76494c9c" TargetMode="External"/><Relationship Id="rId5" Type="http://schemas.openxmlformats.org/officeDocument/2006/relationships/hyperlink" Target="https://advance.lexis.com/search/?pdmfid=1000516&amp;crid=4139c707-3b63-4c83-8950-f1aaadecef30&amp;pdsearchterms=ors+17.095&amp;pdstartin=hlct%3A1%3A1&amp;pdtypeofsearch=searchboxclick&amp;pdsearchtype=SearchBox&amp;pdqttype=and&amp;pdquerytemplateid=&amp;ecomp=1gr9k&amp;prid=35cb7a1b-be86-4214-83bb-e36f76494c9c" TargetMode="External"/><Relationship Id="rId10" Type="http://schemas.openxmlformats.org/officeDocument/2006/relationships/hyperlink" Target="https://advance.lexis.com/search/?pdmfid=1000516&amp;crid=4139c707-3b63-4c83-8950-f1aaadecef30&amp;pdsearchterms=ors+17.095&amp;pdstartin=hlct%3A1%3A1&amp;pdtypeofsearch=searchboxclick&amp;pdsearchtype=SearchBox&amp;pdqttype=and&amp;pdquerytemplateid=&amp;ecomp=1gr9k&amp;prid=35cb7a1b-be86-4214-83bb-e36f76494c9c" TargetMode="External"/><Relationship Id="rId4" Type="http://schemas.openxmlformats.org/officeDocument/2006/relationships/hyperlink" Target="https://advance.lexis.com/search/?pdmfid=1000516&amp;crid=4139c707-3b63-4c83-8950-f1aaadecef30&amp;pdsearchterms=ors+17.095&amp;pdstartin=hlct%3A1%3A1&amp;pdtypeofsearch=searchboxclick&amp;pdsearchtype=SearchBox&amp;pdqttype=and&amp;pdquerytemplateid=&amp;ecomp=1gr9k&amp;prid=35cb7a1b-be86-4214-83bb-e36f76494c9c" TargetMode="External"/><Relationship Id="rId9" Type="http://schemas.openxmlformats.org/officeDocument/2006/relationships/hyperlink" Target="https://advance.lexis.com/search/?pdmfid=1000516&amp;crid=4139c707-3b63-4c83-8950-f1aaadecef30&amp;pdsearchterms=ors+17.095&amp;pdstartin=hlct%3A1%3A1&amp;pdtypeofsearch=searchboxclick&amp;pdsearchtype=SearchBox&amp;pdqttype=and&amp;pdquerytemplateid=&amp;ecomp=1gr9k&amp;prid=35cb7a1b-be86-4214-83bb-e36f76494c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Vincent</dc:creator>
  <cp:keywords/>
  <dc:description/>
  <cp:lastModifiedBy>Karyn Vincent</cp:lastModifiedBy>
  <cp:revision>6</cp:revision>
  <dcterms:created xsi:type="dcterms:W3CDTF">2019-11-14T14:41:00Z</dcterms:created>
  <dcterms:modified xsi:type="dcterms:W3CDTF">2019-11-14T15:13:00Z</dcterms:modified>
</cp:coreProperties>
</file>