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7C0A" w14:textId="7F6D4168" w:rsidR="00E91441" w:rsidRPr="009D5E15" w:rsidRDefault="00E91441" w:rsidP="00B13C2C">
      <w:pPr>
        <w:spacing w:after="0" w:line="240" w:lineRule="auto"/>
        <w:rPr>
          <w:rFonts w:ascii="Times New Roman" w:hAnsi="Times New Roman" w:cs="Times New Roman"/>
          <w:sz w:val="24"/>
          <w:szCs w:val="24"/>
        </w:rPr>
      </w:pPr>
    </w:p>
    <w:p w14:paraId="584305C7" w14:textId="77777777" w:rsidR="00703CDC" w:rsidRDefault="00703CDC" w:rsidP="00B13C2C">
      <w:pPr>
        <w:spacing w:after="0" w:line="240" w:lineRule="auto"/>
        <w:jc w:val="center"/>
        <w:rPr>
          <w:rFonts w:ascii="Times New Roman" w:hAnsi="Times New Roman" w:cs="Times New Roman"/>
          <w:b/>
          <w:bCs/>
          <w:sz w:val="24"/>
          <w:szCs w:val="24"/>
        </w:rPr>
      </w:pPr>
    </w:p>
    <w:p w14:paraId="50EBD8B7" w14:textId="77777777" w:rsidR="00703CDC" w:rsidRDefault="00703CDC" w:rsidP="00B13C2C">
      <w:pPr>
        <w:spacing w:after="0" w:line="240" w:lineRule="auto"/>
        <w:jc w:val="center"/>
        <w:rPr>
          <w:rFonts w:ascii="Times New Roman" w:hAnsi="Times New Roman" w:cs="Times New Roman"/>
          <w:b/>
          <w:bCs/>
          <w:sz w:val="24"/>
          <w:szCs w:val="24"/>
        </w:rPr>
      </w:pPr>
    </w:p>
    <w:p w14:paraId="411F7458" w14:textId="77777777" w:rsidR="00703CDC" w:rsidRDefault="00703CDC" w:rsidP="00B13C2C">
      <w:pPr>
        <w:spacing w:after="0" w:line="240" w:lineRule="auto"/>
        <w:jc w:val="center"/>
        <w:rPr>
          <w:rFonts w:ascii="Times New Roman" w:hAnsi="Times New Roman" w:cs="Times New Roman"/>
          <w:b/>
          <w:bCs/>
          <w:sz w:val="24"/>
          <w:szCs w:val="24"/>
        </w:rPr>
      </w:pPr>
    </w:p>
    <w:p w14:paraId="356A5C9A" w14:textId="77777777" w:rsidR="00703CDC" w:rsidRDefault="00703CDC" w:rsidP="00B13C2C">
      <w:pPr>
        <w:spacing w:after="0" w:line="240" w:lineRule="auto"/>
        <w:jc w:val="center"/>
        <w:rPr>
          <w:rFonts w:ascii="Times New Roman" w:hAnsi="Times New Roman" w:cs="Times New Roman"/>
          <w:b/>
          <w:bCs/>
          <w:sz w:val="24"/>
          <w:szCs w:val="24"/>
        </w:rPr>
      </w:pPr>
    </w:p>
    <w:p w14:paraId="65AF12E1" w14:textId="77777777" w:rsidR="00703CDC" w:rsidRDefault="00703CDC" w:rsidP="00B13C2C">
      <w:pPr>
        <w:spacing w:after="0" w:line="240" w:lineRule="auto"/>
        <w:jc w:val="center"/>
        <w:rPr>
          <w:rFonts w:ascii="Times New Roman" w:hAnsi="Times New Roman" w:cs="Times New Roman"/>
          <w:b/>
          <w:bCs/>
          <w:sz w:val="24"/>
          <w:szCs w:val="24"/>
        </w:rPr>
      </w:pPr>
    </w:p>
    <w:p w14:paraId="6EC20FD7" w14:textId="77777777" w:rsidR="00703CDC" w:rsidRDefault="00703CDC" w:rsidP="00B13C2C">
      <w:pPr>
        <w:spacing w:after="0" w:line="240" w:lineRule="auto"/>
        <w:jc w:val="center"/>
        <w:rPr>
          <w:rFonts w:ascii="Times New Roman" w:hAnsi="Times New Roman" w:cs="Times New Roman"/>
          <w:b/>
          <w:bCs/>
          <w:sz w:val="24"/>
          <w:szCs w:val="24"/>
        </w:rPr>
      </w:pPr>
    </w:p>
    <w:p w14:paraId="1D4107B5" w14:textId="77777777" w:rsidR="00703CDC" w:rsidRDefault="00703CDC" w:rsidP="00B13C2C">
      <w:pPr>
        <w:spacing w:after="0" w:line="240" w:lineRule="auto"/>
        <w:jc w:val="center"/>
        <w:rPr>
          <w:rFonts w:ascii="Times New Roman" w:hAnsi="Times New Roman" w:cs="Times New Roman"/>
          <w:b/>
          <w:bCs/>
          <w:sz w:val="24"/>
          <w:szCs w:val="24"/>
        </w:rPr>
      </w:pPr>
    </w:p>
    <w:p w14:paraId="174F15A2" w14:textId="77777777" w:rsidR="00703CDC" w:rsidRDefault="00703CDC" w:rsidP="00B13C2C">
      <w:pPr>
        <w:spacing w:after="0" w:line="240" w:lineRule="auto"/>
        <w:jc w:val="center"/>
        <w:rPr>
          <w:rFonts w:ascii="Times New Roman" w:hAnsi="Times New Roman" w:cs="Times New Roman"/>
          <w:b/>
          <w:bCs/>
          <w:sz w:val="24"/>
          <w:szCs w:val="24"/>
        </w:rPr>
      </w:pPr>
    </w:p>
    <w:p w14:paraId="4E3CE2B2" w14:textId="77777777" w:rsidR="00703CDC" w:rsidRDefault="00703CDC" w:rsidP="00B13C2C">
      <w:pPr>
        <w:spacing w:after="0" w:line="240" w:lineRule="auto"/>
        <w:jc w:val="center"/>
        <w:rPr>
          <w:rFonts w:ascii="Times New Roman" w:hAnsi="Times New Roman" w:cs="Times New Roman"/>
          <w:b/>
          <w:bCs/>
          <w:sz w:val="24"/>
          <w:szCs w:val="24"/>
        </w:rPr>
      </w:pPr>
    </w:p>
    <w:p w14:paraId="582F0232" w14:textId="77777777" w:rsidR="00703CDC" w:rsidRDefault="00703CDC" w:rsidP="00B13C2C">
      <w:pPr>
        <w:spacing w:after="0" w:line="240" w:lineRule="auto"/>
        <w:jc w:val="center"/>
        <w:rPr>
          <w:rFonts w:ascii="Times New Roman" w:hAnsi="Times New Roman" w:cs="Times New Roman"/>
          <w:b/>
          <w:bCs/>
          <w:sz w:val="24"/>
          <w:szCs w:val="24"/>
        </w:rPr>
      </w:pPr>
    </w:p>
    <w:p w14:paraId="64C12F18" w14:textId="77777777" w:rsidR="00703CDC" w:rsidRDefault="00703CDC" w:rsidP="00B13C2C">
      <w:pPr>
        <w:spacing w:after="0" w:line="240" w:lineRule="auto"/>
        <w:jc w:val="center"/>
        <w:rPr>
          <w:rFonts w:ascii="Times New Roman" w:hAnsi="Times New Roman" w:cs="Times New Roman"/>
          <w:b/>
          <w:bCs/>
          <w:sz w:val="24"/>
          <w:szCs w:val="24"/>
        </w:rPr>
      </w:pPr>
    </w:p>
    <w:p w14:paraId="3239B924" w14:textId="77777777" w:rsidR="00703CDC" w:rsidRDefault="00703CDC" w:rsidP="00B13C2C">
      <w:pPr>
        <w:spacing w:after="0" w:line="240" w:lineRule="auto"/>
        <w:jc w:val="center"/>
        <w:rPr>
          <w:rFonts w:ascii="Times New Roman" w:hAnsi="Times New Roman" w:cs="Times New Roman"/>
          <w:b/>
          <w:bCs/>
          <w:sz w:val="24"/>
          <w:szCs w:val="24"/>
        </w:rPr>
      </w:pPr>
    </w:p>
    <w:p w14:paraId="395EF661" w14:textId="77777777" w:rsidR="00703CDC" w:rsidRDefault="00703CDC" w:rsidP="00B13C2C">
      <w:pPr>
        <w:spacing w:after="0" w:line="240" w:lineRule="auto"/>
        <w:jc w:val="center"/>
        <w:rPr>
          <w:rFonts w:ascii="Times New Roman" w:hAnsi="Times New Roman" w:cs="Times New Roman"/>
          <w:b/>
          <w:bCs/>
          <w:sz w:val="24"/>
          <w:szCs w:val="24"/>
        </w:rPr>
      </w:pPr>
    </w:p>
    <w:p w14:paraId="37579D20" w14:textId="77777777" w:rsidR="00703CDC" w:rsidRDefault="00703CDC" w:rsidP="00B13C2C">
      <w:pPr>
        <w:spacing w:after="0" w:line="240" w:lineRule="auto"/>
        <w:jc w:val="center"/>
        <w:rPr>
          <w:rFonts w:ascii="Times New Roman" w:hAnsi="Times New Roman" w:cs="Times New Roman"/>
          <w:b/>
          <w:bCs/>
          <w:sz w:val="24"/>
          <w:szCs w:val="24"/>
        </w:rPr>
      </w:pPr>
    </w:p>
    <w:p w14:paraId="54DB5B59" w14:textId="77777777" w:rsidR="00703CDC" w:rsidRDefault="00703CDC" w:rsidP="00B13C2C">
      <w:pPr>
        <w:spacing w:after="0" w:line="240" w:lineRule="auto"/>
        <w:jc w:val="center"/>
        <w:rPr>
          <w:rFonts w:ascii="Times New Roman" w:hAnsi="Times New Roman" w:cs="Times New Roman"/>
          <w:b/>
          <w:bCs/>
          <w:sz w:val="24"/>
          <w:szCs w:val="24"/>
        </w:rPr>
      </w:pPr>
    </w:p>
    <w:p w14:paraId="52255E5B" w14:textId="77777777" w:rsidR="00703CDC" w:rsidRPr="00703CDC" w:rsidRDefault="00703CDC" w:rsidP="00B13C2C">
      <w:pPr>
        <w:spacing w:after="0" w:line="240" w:lineRule="auto"/>
        <w:jc w:val="center"/>
        <w:rPr>
          <w:rFonts w:ascii="Times New Roman" w:hAnsi="Times New Roman" w:cs="Times New Roman"/>
          <w:b/>
          <w:bCs/>
          <w:sz w:val="36"/>
          <w:szCs w:val="36"/>
        </w:rPr>
      </w:pPr>
    </w:p>
    <w:p w14:paraId="10A5B7BE" w14:textId="2E5F2190" w:rsidR="00E91441" w:rsidRPr="00703CDC" w:rsidRDefault="00703CDC" w:rsidP="00B13C2C">
      <w:pPr>
        <w:spacing w:after="0" w:line="240" w:lineRule="auto"/>
        <w:jc w:val="center"/>
        <w:rPr>
          <w:rFonts w:ascii="Times New Roman" w:hAnsi="Times New Roman" w:cs="Times New Roman"/>
          <w:b/>
          <w:bCs/>
          <w:sz w:val="36"/>
          <w:szCs w:val="36"/>
        </w:rPr>
      </w:pPr>
      <w:r w:rsidRPr="00703CDC">
        <w:rPr>
          <w:rFonts w:ascii="Times New Roman" w:hAnsi="Times New Roman" w:cs="Times New Roman"/>
          <w:b/>
          <w:bCs/>
          <w:sz w:val="36"/>
          <w:szCs w:val="36"/>
        </w:rPr>
        <w:t xml:space="preserve">IS </w:t>
      </w:r>
      <w:r w:rsidR="00E91441" w:rsidRPr="00703CDC">
        <w:rPr>
          <w:rFonts w:ascii="Times New Roman" w:hAnsi="Times New Roman" w:cs="Times New Roman"/>
          <w:b/>
          <w:bCs/>
          <w:sz w:val="36"/>
          <w:szCs w:val="36"/>
        </w:rPr>
        <w:t xml:space="preserve">SEXUAL ASSAULT </w:t>
      </w:r>
      <w:r w:rsidRPr="00703CDC">
        <w:rPr>
          <w:rFonts w:ascii="Times New Roman" w:hAnsi="Times New Roman" w:cs="Times New Roman"/>
          <w:b/>
          <w:bCs/>
          <w:sz w:val="36"/>
          <w:szCs w:val="36"/>
        </w:rPr>
        <w:t>BY A HEALTH CARE PROVIDER MEDICAL MALPRACTICE</w:t>
      </w:r>
      <w:r w:rsidR="0057306C">
        <w:rPr>
          <w:rFonts w:ascii="Times New Roman" w:hAnsi="Times New Roman" w:cs="Times New Roman"/>
          <w:b/>
          <w:bCs/>
          <w:sz w:val="36"/>
          <w:szCs w:val="36"/>
        </w:rPr>
        <w:t xml:space="preserve"> IN INDIANA</w:t>
      </w:r>
      <w:r w:rsidRPr="00703CDC">
        <w:rPr>
          <w:rFonts w:ascii="Times New Roman" w:hAnsi="Times New Roman" w:cs="Times New Roman"/>
          <w:b/>
          <w:bCs/>
          <w:sz w:val="36"/>
          <w:szCs w:val="36"/>
        </w:rPr>
        <w:t>?</w:t>
      </w:r>
    </w:p>
    <w:p w14:paraId="67F3F461" w14:textId="2D3330F4" w:rsidR="00E91441" w:rsidRPr="00703CDC" w:rsidRDefault="00E91441" w:rsidP="00B13C2C">
      <w:pPr>
        <w:spacing w:after="0" w:line="240" w:lineRule="auto"/>
        <w:jc w:val="center"/>
        <w:rPr>
          <w:rFonts w:ascii="Times New Roman" w:hAnsi="Times New Roman" w:cs="Times New Roman"/>
          <w:b/>
          <w:bCs/>
          <w:sz w:val="36"/>
          <w:szCs w:val="36"/>
        </w:rPr>
      </w:pPr>
      <w:r w:rsidRPr="00703CDC">
        <w:rPr>
          <w:rFonts w:ascii="Times New Roman" w:hAnsi="Times New Roman" w:cs="Times New Roman"/>
          <w:b/>
          <w:bCs/>
          <w:sz w:val="36"/>
          <w:szCs w:val="36"/>
        </w:rPr>
        <w:t xml:space="preserve"> </w:t>
      </w:r>
    </w:p>
    <w:p w14:paraId="331B92F6" w14:textId="7EC17A7C" w:rsidR="00975B51" w:rsidRDefault="00975B51" w:rsidP="00E91441">
      <w:pPr>
        <w:jc w:val="center"/>
        <w:rPr>
          <w:rFonts w:ascii="Times New Roman" w:hAnsi="Times New Roman" w:cs="Times New Roman"/>
          <w:sz w:val="24"/>
          <w:szCs w:val="24"/>
        </w:rPr>
      </w:pPr>
    </w:p>
    <w:p w14:paraId="5F84E287" w14:textId="07F33C13" w:rsidR="00703CDC" w:rsidRDefault="00703CDC" w:rsidP="00E91441">
      <w:pPr>
        <w:jc w:val="center"/>
        <w:rPr>
          <w:rFonts w:ascii="Times New Roman" w:hAnsi="Times New Roman" w:cs="Times New Roman"/>
          <w:sz w:val="24"/>
          <w:szCs w:val="24"/>
        </w:rPr>
      </w:pPr>
    </w:p>
    <w:p w14:paraId="19544F04" w14:textId="52680313" w:rsidR="00703CDC" w:rsidRDefault="00703CDC" w:rsidP="00E91441">
      <w:pPr>
        <w:jc w:val="center"/>
        <w:rPr>
          <w:rFonts w:ascii="Times New Roman" w:hAnsi="Times New Roman" w:cs="Times New Roman"/>
          <w:sz w:val="24"/>
          <w:szCs w:val="24"/>
        </w:rPr>
      </w:pPr>
    </w:p>
    <w:p w14:paraId="7B4AD9B3" w14:textId="018E9427" w:rsidR="00703CDC" w:rsidRDefault="00703CDC" w:rsidP="00E91441">
      <w:pPr>
        <w:jc w:val="center"/>
        <w:rPr>
          <w:rFonts w:ascii="Times New Roman" w:hAnsi="Times New Roman" w:cs="Times New Roman"/>
          <w:sz w:val="24"/>
          <w:szCs w:val="24"/>
        </w:rPr>
      </w:pPr>
    </w:p>
    <w:p w14:paraId="55D653D7" w14:textId="1A5B3760" w:rsidR="00703CDC" w:rsidRDefault="00703CDC" w:rsidP="00703CDC">
      <w:pPr>
        <w:jc w:val="center"/>
        <w:rPr>
          <w:rFonts w:ascii="Times New Roman" w:hAnsi="Times New Roman" w:cs="Times New Roman"/>
          <w:sz w:val="24"/>
          <w:szCs w:val="24"/>
        </w:rPr>
      </w:pPr>
    </w:p>
    <w:p w14:paraId="38681BC4" w14:textId="0CFE0965" w:rsidR="00703CDC" w:rsidRDefault="00703CDC" w:rsidP="00703CDC">
      <w:pPr>
        <w:jc w:val="center"/>
        <w:rPr>
          <w:rFonts w:ascii="Times New Roman" w:hAnsi="Times New Roman" w:cs="Times New Roman"/>
          <w:sz w:val="24"/>
          <w:szCs w:val="24"/>
        </w:rPr>
      </w:pPr>
    </w:p>
    <w:p w14:paraId="4831B6B9" w14:textId="77777777" w:rsidR="00703CDC" w:rsidRPr="009D5E15"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Gregory L. Laker</w:t>
      </w:r>
    </w:p>
    <w:p w14:paraId="363BAC54" w14:textId="7EA1B746" w:rsidR="00703CDC" w:rsidRPr="009D5E15"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Daniel S. Chamberlain</w:t>
      </w:r>
    </w:p>
    <w:p w14:paraId="2A4ED32E" w14:textId="1D01000D" w:rsidR="00703CDC" w:rsidRPr="009D5E15"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Shaunestte N. Terrell</w:t>
      </w:r>
    </w:p>
    <w:p w14:paraId="2D085C2F" w14:textId="77777777" w:rsidR="00703CDC" w:rsidRPr="0029542E" w:rsidRDefault="00703CDC" w:rsidP="00703CDC">
      <w:pPr>
        <w:spacing w:after="0" w:line="240" w:lineRule="auto"/>
        <w:jc w:val="center"/>
        <w:rPr>
          <w:rFonts w:ascii="Times New Roman" w:hAnsi="Times New Roman" w:cs="Times New Roman"/>
          <w:b/>
          <w:sz w:val="24"/>
          <w:szCs w:val="24"/>
        </w:rPr>
      </w:pPr>
      <w:r w:rsidRPr="0029542E">
        <w:rPr>
          <w:rFonts w:ascii="Times New Roman" w:hAnsi="Times New Roman" w:cs="Times New Roman"/>
          <w:b/>
          <w:sz w:val="24"/>
          <w:szCs w:val="24"/>
        </w:rPr>
        <w:t>COHEN &amp; MALAD, LLP</w:t>
      </w:r>
    </w:p>
    <w:p w14:paraId="34C55410" w14:textId="77777777" w:rsidR="00703CDC" w:rsidRPr="009D5E15"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One Indian Square #1400</w:t>
      </w:r>
    </w:p>
    <w:p w14:paraId="1136AD40" w14:textId="234610FD" w:rsidR="00703CDC"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Indianapolis, Indiana 46204</w:t>
      </w:r>
    </w:p>
    <w:p w14:paraId="5E3462E4" w14:textId="77777777" w:rsidR="00703CDC" w:rsidRPr="009D5E15" w:rsidRDefault="00703CDC" w:rsidP="00703CDC">
      <w:pPr>
        <w:spacing w:after="0" w:line="240" w:lineRule="auto"/>
        <w:jc w:val="center"/>
        <w:rPr>
          <w:rFonts w:ascii="Times New Roman" w:hAnsi="Times New Roman" w:cs="Times New Roman"/>
          <w:sz w:val="24"/>
          <w:szCs w:val="24"/>
        </w:rPr>
      </w:pPr>
      <w:r w:rsidRPr="009D5E15">
        <w:rPr>
          <w:rFonts w:ascii="Times New Roman" w:hAnsi="Times New Roman" w:cs="Times New Roman"/>
          <w:sz w:val="24"/>
          <w:szCs w:val="24"/>
        </w:rPr>
        <w:t>(317) 636-6481</w:t>
      </w:r>
    </w:p>
    <w:p w14:paraId="79A13601" w14:textId="77777777" w:rsidR="00703CDC" w:rsidRPr="009D5E15" w:rsidRDefault="00B27716" w:rsidP="00703CDC">
      <w:pPr>
        <w:spacing w:after="0" w:line="240" w:lineRule="auto"/>
        <w:jc w:val="center"/>
        <w:rPr>
          <w:rFonts w:ascii="Times New Roman" w:hAnsi="Times New Roman" w:cs="Times New Roman"/>
          <w:sz w:val="24"/>
          <w:szCs w:val="24"/>
        </w:rPr>
      </w:pPr>
      <w:hyperlink r:id="rId8" w:history="1">
        <w:r w:rsidR="00703CDC" w:rsidRPr="009D5E15">
          <w:rPr>
            <w:rStyle w:val="Hyperlink"/>
            <w:rFonts w:ascii="Times New Roman" w:hAnsi="Times New Roman" w:cs="Times New Roman"/>
            <w:sz w:val="24"/>
            <w:szCs w:val="24"/>
          </w:rPr>
          <w:t>glaker@cohenandmalad.com</w:t>
        </w:r>
      </w:hyperlink>
    </w:p>
    <w:p w14:paraId="38A1C8B0" w14:textId="77777777" w:rsidR="00703CDC" w:rsidRPr="009D5E15" w:rsidRDefault="00B27716" w:rsidP="00703CDC">
      <w:pPr>
        <w:spacing w:after="0" w:line="240" w:lineRule="auto"/>
        <w:jc w:val="center"/>
        <w:rPr>
          <w:rFonts w:ascii="Times New Roman" w:hAnsi="Times New Roman" w:cs="Times New Roman"/>
          <w:sz w:val="24"/>
          <w:szCs w:val="24"/>
        </w:rPr>
      </w:pPr>
      <w:hyperlink r:id="rId9" w:history="1">
        <w:r w:rsidR="00703CDC" w:rsidRPr="009D5E15">
          <w:rPr>
            <w:rStyle w:val="Hyperlink"/>
            <w:rFonts w:ascii="Times New Roman" w:hAnsi="Times New Roman" w:cs="Times New Roman"/>
            <w:sz w:val="24"/>
            <w:szCs w:val="24"/>
          </w:rPr>
          <w:t>dchamberlain@cohenandmalad.com</w:t>
        </w:r>
      </w:hyperlink>
    </w:p>
    <w:p w14:paraId="319CD963" w14:textId="77777777" w:rsidR="00703CDC" w:rsidRPr="009D5E15" w:rsidRDefault="00B27716" w:rsidP="00703CDC">
      <w:pPr>
        <w:spacing w:after="0" w:line="240" w:lineRule="auto"/>
        <w:jc w:val="center"/>
        <w:rPr>
          <w:rFonts w:ascii="Times New Roman" w:hAnsi="Times New Roman" w:cs="Times New Roman"/>
          <w:sz w:val="24"/>
          <w:szCs w:val="24"/>
        </w:rPr>
      </w:pPr>
      <w:hyperlink r:id="rId10" w:history="1">
        <w:r w:rsidR="00703CDC" w:rsidRPr="009D5E15">
          <w:rPr>
            <w:rStyle w:val="Hyperlink"/>
            <w:rFonts w:ascii="Times New Roman" w:hAnsi="Times New Roman" w:cs="Times New Roman"/>
            <w:sz w:val="24"/>
            <w:szCs w:val="24"/>
          </w:rPr>
          <w:t>sterrell@cohenandmalad.com</w:t>
        </w:r>
      </w:hyperlink>
    </w:p>
    <w:p w14:paraId="08BB1D58" w14:textId="0D616E8C" w:rsidR="00703CDC" w:rsidRDefault="00703CDC" w:rsidP="00703CDC">
      <w:pPr>
        <w:jc w:val="center"/>
        <w:rPr>
          <w:rFonts w:ascii="Times New Roman" w:hAnsi="Times New Roman" w:cs="Times New Roman"/>
          <w:sz w:val="24"/>
          <w:szCs w:val="24"/>
        </w:rPr>
      </w:pPr>
    </w:p>
    <w:p w14:paraId="6DDA9F76" w14:textId="77247151" w:rsidR="00703CDC" w:rsidRDefault="00703CDC" w:rsidP="00E91441">
      <w:pPr>
        <w:jc w:val="center"/>
        <w:rPr>
          <w:rFonts w:ascii="Times New Roman" w:hAnsi="Times New Roman" w:cs="Times New Roman"/>
          <w:sz w:val="24"/>
          <w:szCs w:val="24"/>
        </w:rPr>
      </w:pPr>
    </w:p>
    <w:p w14:paraId="4C1C2F94" w14:textId="01D5C74E" w:rsidR="00703CDC" w:rsidRDefault="00703CDC" w:rsidP="00E91441">
      <w:pPr>
        <w:jc w:val="center"/>
        <w:rPr>
          <w:rFonts w:ascii="Times New Roman" w:hAnsi="Times New Roman" w:cs="Times New Roman"/>
          <w:sz w:val="24"/>
          <w:szCs w:val="24"/>
        </w:rPr>
      </w:pPr>
    </w:p>
    <w:p w14:paraId="4CD4F1E3" w14:textId="77777777" w:rsidR="00AA42CB" w:rsidRPr="00AA42CB" w:rsidRDefault="00AA42CB" w:rsidP="00AA42CB">
      <w:pPr>
        <w:spacing w:line="276" w:lineRule="auto"/>
        <w:ind w:firstLine="720"/>
        <w:jc w:val="both"/>
        <w:rPr>
          <w:rFonts w:ascii="Times New Roman" w:hAnsi="Times New Roman" w:cs="Times New Roman"/>
        </w:rPr>
      </w:pPr>
      <w:r w:rsidRPr="00AA42CB">
        <w:rPr>
          <w:rFonts w:ascii="Times New Roman" w:hAnsi="Times New Roman" w:cs="Times New Roman"/>
          <w:b/>
          <w:bCs/>
        </w:rPr>
        <w:lastRenderedPageBreak/>
        <w:t>Gregory L. Laker</w:t>
      </w:r>
      <w:r w:rsidRPr="00AA42CB">
        <w:rPr>
          <w:rFonts w:ascii="Times New Roman" w:hAnsi="Times New Roman" w:cs="Times New Roman"/>
        </w:rPr>
        <w:t xml:space="preserve"> is a partner and chair of Cohen &amp; Malad, LLP’s personal injury practice. He has over 30 years of experience helping people in complex personal injury, medical malpractice, and sexual abuse litigation. As a father, he is especially passionate about advocating for children who experience sexual abuse. He has handled cases against schools, churches, major corporations, daycare centers, and individuals involving sexual abuse of children. Greg has also represented victims of various crimes including rape, gun violence and shootings, and dram shop -- or overserving of alcohol. Greg volunteers his time in the community and is a member of the Riley Society Board for the Riley Hospital for Children. He also volunteers his time and legal advice to various advocacy organizations assisting survivors across Indiana. </w:t>
      </w:r>
    </w:p>
    <w:p w14:paraId="20506D19" w14:textId="77777777" w:rsidR="00AA42CB" w:rsidRPr="00AA42CB" w:rsidRDefault="00AA42CB" w:rsidP="00AA42CB">
      <w:pPr>
        <w:spacing w:line="276" w:lineRule="auto"/>
        <w:ind w:firstLine="720"/>
        <w:jc w:val="both"/>
        <w:rPr>
          <w:rFonts w:ascii="Times New Roman" w:hAnsi="Times New Roman" w:cs="Times New Roman"/>
        </w:rPr>
      </w:pPr>
    </w:p>
    <w:p w14:paraId="014B9D0F" w14:textId="015475D3" w:rsidR="00AA42CB" w:rsidRPr="00AA42CB" w:rsidRDefault="00AA42CB" w:rsidP="00AA42CB">
      <w:pPr>
        <w:spacing w:line="276" w:lineRule="auto"/>
        <w:ind w:firstLine="720"/>
        <w:jc w:val="both"/>
        <w:rPr>
          <w:rFonts w:ascii="Times New Roman" w:hAnsi="Times New Roman" w:cs="Times New Roman"/>
        </w:rPr>
      </w:pPr>
      <w:r w:rsidRPr="00AA42CB">
        <w:rPr>
          <w:rFonts w:ascii="Times New Roman" w:hAnsi="Times New Roman" w:cs="Times New Roman"/>
          <w:b/>
          <w:bCs/>
        </w:rPr>
        <w:t>Daniel S. Chamberlain</w:t>
      </w:r>
      <w:r w:rsidRPr="00AA42CB">
        <w:rPr>
          <w:rFonts w:ascii="Times New Roman" w:hAnsi="Times New Roman" w:cs="Times New Roman"/>
        </w:rPr>
        <w:t xml:space="preserve"> is a Partner at Cohen &amp; Malad, LLP., an Indianapolis based but nationally recognized law firm. Founded 50 years ago, Cohen &amp; Malad, LLP. includes a preeminent group of attorneys representing the wrongfully injured and killed and a dedicated staff supporting our mission to provide excellent legal representation. Cohen &amp; Malad, LLP attorneys represent consumers in Indiana and across the United States in catastrophic injury, brain, spinal cord, sexual abuse, trucking, construction site falls, medical malpractice, birth trauma, National Football League (NFL) player claims, class action, mass tort, family and business law. Many of our clients are referred by former and current clients and their families. We also encourage and receive referrals from other attorneys and medical professionals. Co-counsel and referral arrangements are available. Dan is a Board Member of the National Crime Victim Bar Association.</w:t>
      </w:r>
    </w:p>
    <w:p w14:paraId="18022A60" w14:textId="77777777" w:rsidR="00AA42CB" w:rsidRPr="00AA42CB" w:rsidRDefault="00AA42CB" w:rsidP="00AA42CB">
      <w:pPr>
        <w:spacing w:line="276" w:lineRule="auto"/>
        <w:ind w:firstLine="720"/>
        <w:jc w:val="both"/>
        <w:rPr>
          <w:rFonts w:ascii="Times New Roman" w:hAnsi="Times New Roman" w:cs="Times New Roman"/>
          <w:b/>
          <w:bCs/>
        </w:rPr>
      </w:pPr>
    </w:p>
    <w:p w14:paraId="20E7D265" w14:textId="4ABEE273" w:rsidR="00AA42CB" w:rsidRPr="00AA42CB" w:rsidRDefault="00AA42CB" w:rsidP="00AA42CB">
      <w:pPr>
        <w:spacing w:line="276" w:lineRule="auto"/>
        <w:ind w:firstLine="720"/>
        <w:jc w:val="both"/>
        <w:rPr>
          <w:rFonts w:ascii="Times New Roman" w:hAnsi="Times New Roman" w:cs="Times New Roman"/>
        </w:rPr>
      </w:pPr>
      <w:r w:rsidRPr="00AA42CB">
        <w:rPr>
          <w:rFonts w:ascii="Times New Roman" w:hAnsi="Times New Roman" w:cs="Times New Roman"/>
          <w:b/>
          <w:bCs/>
        </w:rPr>
        <w:t>Shaunestte Terrell</w:t>
      </w:r>
      <w:r w:rsidRPr="00AA42CB">
        <w:rPr>
          <w:rFonts w:ascii="Times New Roman" w:hAnsi="Times New Roman" w:cs="Times New Roman"/>
        </w:rPr>
        <w:t xml:space="preserve"> is an attorney and member of the Sexual Abuse Litigation Team at Cohen &amp; Malad, LLP.  Shaunestte brings years of experience prosecuting crimes of rape, child molest, child abuse, human trafficking, and other crimes against protected persons.  As the sole Deputy Prosecuting Attorney handling sex trafficking in Indianapolis, Shaunestte frequently participated in undercover investigations and prostitution ring busts, which she then prosecuted in state court or referred to the United States Attorney’s Office where she served as a Special Assistant United States Attorney.  Considered the subject matter expert in sexual assault and domestic violence for Indiana’s 91 elected Prosecuting Attorneys, Shaunestte developed state-wide prosecutor-based preventive law programs and developed curriculums for trial advocacy and substantive courses specific to these subject matters.  Shaunestte served as Chairperson of the Indiana Sexual Assault Response Team Advisory Council where she led the effort to implement a statewide sexual assault kit tracking system, Chairperson of the Governor’s Council on Domestic Violence Prevention &amp; Treatment, on the Indiana Supreme Court’s Domestic Violence Advisory Council, and the Indiana Protection for Abused and Trafficked Humans Task Force, amongst others.</w:t>
      </w:r>
    </w:p>
    <w:p w14:paraId="2038DB39" w14:textId="26205B20" w:rsidR="00AA42CB" w:rsidRDefault="00AA42CB" w:rsidP="00AA42CB">
      <w:pPr>
        <w:jc w:val="center"/>
        <w:rPr>
          <w:rFonts w:ascii="Times New Roman" w:hAnsi="Times New Roman" w:cs="Times New Roman"/>
          <w:sz w:val="24"/>
          <w:szCs w:val="24"/>
        </w:rPr>
      </w:pPr>
    </w:p>
    <w:p w14:paraId="4254A195" w14:textId="43C7AB7E" w:rsidR="00AA42CB" w:rsidRDefault="00AA42CB" w:rsidP="00AA42CB">
      <w:pPr>
        <w:jc w:val="center"/>
        <w:rPr>
          <w:rFonts w:ascii="Times New Roman" w:hAnsi="Times New Roman" w:cs="Times New Roman"/>
          <w:sz w:val="24"/>
          <w:szCs w:val="24"/>
        </w:rPr>
      </w:pPr>
    </w:p>
    <w:p w14:paraId="5E0ADCDC" w14:textId="15868EC1" w:rsidR="00AA42CB" w:rsidRDefault="00AA42CB" w:rsidP="00AA42CB">
      <w:pPr>
        <w:jc w:val="center"/>
        <w:rPr>
          <w:rFonts w:ascii="Times New Roman" w:hAnsi="Times New Roman" w:cs="Times New Roman"/>
          <w:sz w:val="24"/>
          <w:szCs w:val="24"/>
        </w:rPr>
      </w:pPr>
    </w:p>
    <w:p w14:paraId="661F30F1" w14:textId="29A0D2FB" w:rsidR="00AA42CB" w:rsidRDefault="00AA42CB" w:rsidP="00AA42CB">
      <w:pPr>
        <w:jc w:val="center"/>
        <w:rPr>
          <w:rFonts w:ascii="Times New Roman" w:hAnsi="Times New Roman" w:cs="Times New Roman"/>
          <w:sz w:val="24"/>
          <w:szCs w:val="24"/>
        </w:rPr>
      </w:pPr>
    </w:p>
    <w:p w14:paraId="19CAA71A" w14:textId="28BD4A90" w:rsidR="00AA42CB" w:rsidRDefault="00AA42CB" w:rsidP="00AA42CB">
      <w:pPr>
        <w:jc w:val="center"/>
        <w:rPr>
          <w:rFonts w:ascii="Times New Roman" w:hAnsi="Times New Roman" w:cs="Times New Roman"/>
          <w:sz w:val="24"/>
          <w:szCs w:val="24"/>
        </w:rPr>
      </w:pPr>
    </w:p>
    <w:p w14:paraId="00E238EE" w14:textId="77777777" w:rsidR="00AA42CB" w:rsidRDefault="00AA42CB" w:rsidP="00AA42CB">
      <w:pPr>
        <w:jc w:val="center"/>
        <w:rPr>
          <w:rFonts w:ascii="Times New Roman" w:hAnsi="Times New Roman" w:cs="Times New Roman"/>
          <w:sz w:val="24"/>
          <w:szCs w:val="24"/>
        </w:rPr>
      </w:pPr>
    </w:p>
    <w:p w14:paraId="01AEC415" w14:textId="376DA49A" w:rsidR="009D5E15" w:rsidRPr="008A6DBE" w:rsidRDefault="009D5E15" w:rsidP="001D1B8C">
      <w:pPr>
        <w:pStyle w:val="ListParagraph"/>
        <w:numPr>
          <w:ilvl w:val="0"/>
          <w:numId w:val="1"/>
        </w:numPr>
        <w:spacing w:line="276" w:lineRule="auto"/>
        <w:rPr>
          <w:rFonts w:ascii="Times New Roman" w:hAnsi="Times New Roman" w:cs="Times New Roman"/>
          <w:b/>
          <w:bCs/>
        </w:rPr>
      </w:pPr>
      <w:bookmarkStart w:id="0" w:name="_Hlk23362654"/>
      <w:r w:rsidRPr="008A6DBE">
        <w:rPr>
          <w:rFonts w:ascii="Times New Roman" w:hAnsi="Times New Roman" w:cs="Times New Roman"/>
          <w:b/>
          <w:bCs/>
        </w:rPr>
        <w:lastRenderedPageBreak/>
        <w:t xml:space="preserve">Introduction </w:t>
      </w:r>
    </w:p>
    <w:p w14:paraId="045078A6" w14:textId="77777777" w:rsidR="005C515B" w:rsidRPr="008A6DBE" w:rsidRDefault="005C515B" w:rsidP="001D1B8C">
      <w:pPr>
        <w:pStyle w:val="ListParagraph"/>
        <w:spacing w:line="276" w:lineRule="auto"/>
        <w:ind w:left="810"/>
        <w:rPr>
          <w:rFonts w:ascii="Times New Roman" w:hAnsi="Times New Roman" w:cs="Times New Roman"/>
          <w:b/>
          <w:bCs/>
        </w:rPr>
      </w:pPr>
    </w:p>
    <w:p w14:paraId="79C2319A" w14:textId="237193CA" w:rsidR="006B6134" w:rsidRPr="008A6DBE" w:rsidRDefault="006B6134" w:rsidP="001D1B8C">
      <w:pPr>
        <w:spacing w:line="276" w:lineRule="auto"/>
        <w:ind w:firstLine="720"/>
        <w:rPr>
          <w:rFonts w:ascii="Times New Roman" w:hAnsi="Times New Roman" w:cs="Times New Roman"/>
        </w:rPr>
      </w:pPr>
      <w:r w:rsidRPr="008A6DBE">
        <w:rPr>
          <w:rFonts w:ascii="Times New Roman" w:hAnsi="Times New Roman" w:cs="Times New Roman"/>
        </w:rPr>
        <w:t>Recent Indiana case law has changed the landscape for l</w:t>
      </w:r>
      <w:r w:rsidR="00405C85" w:rsidRPr="008A6DBE">
        <w:rPr>
          <w:rFonts w:ascii="Times New Roman" w:hAnsi="Times New Roman" w:cs="Times New Roman"/>
        </w:rPr>
        <w:t xml:space="preserve">itigating </w:t>
      </w:r>
      <w:r w:rsidRPr="008A6DBE">
        <w:rPr>
          <w:rFonts w:ascii="Times New Roman" w:hAnsi="Times New Roman" w:cs="Times New Roman"/>
        </w:rPr>
        <w:t>sexual abuse cases against healthcare providers and/or health care facilitie</w:t>
      </w:r>
      <w:r w:rsidR="005C515B" w:rsidRPr="008A6DBE">
        <w:rPr>
          <w:rFonts w:ascii="Times New Roman" w:hAnsi="Times New Roman" w:cs="Times New Roman"/>
        </w:rPr>
        <w:t>s</w:t>
      </w:r>
      <w:r w:rsidRPr="008A6DBE">
        <w:rPr>
          <w:rFonts w:ascii="Times New Roman" w:hAnsi="Times New Roman" w:cs="Times New Roman"/>
        </w:rPr>
        <w:t xml:space="preserve">.  Traditionally in Indiana, a claim arising out of a sexual assault by a healthcare provider was litigated as a civil suit for damages under ordinary tort law. </w:t>
      </w:r>
      <w:r w:rsidR="00C60CDA" w:rsidRPr="008A6DBE">
        <w:rPr>
          <w:rFonts w:ascii="Times New Roman" w:hAnsi="Times New Roman" w:cs="Times New Roman"/>
        </w:rPr>
        <w:t xml:space="preserve"> </w:t>
      </w:r>
      <w:r w:rsidRPr="008A6DBE">
        <w:rPr>
          <w:rFonts w:ascii="Times New Roman" w:hAnsi="Times New Roman" w:cs="Times New Roman"/>
        </w:rPr>
        <w:t xml:space="preserve">Oftentimes, </w:t>
      </w:r>
      <w:r w:rsidR="00C60CDA" w:rsidRPr="008A6DBE">
        <w:rPr>
          <w:rFonts w:ascii="Times New Roman" w:hAnsi="Times New Roman" w:cs="Times New Roman"/>
        </w:rPr>
        <w:t xml:space="preserve">sexual assault cases </w:t>
      </w:r>
      <w:r w:rsidRPr="008A6DBE">
        <w:rPr>
          <w:rFonts w:ascii="Times New Roman" w:hAnsi="Times New Roman" w:cs="Times New Roman"/>
        </w:rPr>
        <w:t xml:space="preserve">involve claims of vicarious liability </w:t>
      </w:r>
      <w:r w:rsidR="005940E1" w:rsidRPr="008A6DBE">
        <w:rPr>
          <w:rFonts w:ascii="Times New Roman" w:hAnsi="Times New Roman" w:cs="Times New Roman"/>
        </w:rPr>
        <w:t xml:space="preserve">against a perpetrator’s employer </w:t>
      </w:r>
      <w:r w:rsidRPr="008A6DBE">
        <w:rPr>
          <w:rFonts w:ascii="Times New Roman" w:hAnsi="Times New Roman" w:cs="Times New Roman"/>
        </w:rPr>
        <w:t xml:space="preserve">under theories of </w:t>
      </w:r>
      <w:r w:rsidR="005940E1" w:rsidRPr="008A6DBE">
        <w:rPr>
          <w:rFonts w:ascii="Times New Roman" w:hAnsi="Times New Roman" w:cs="Times New Roman"/>
          <w:i/>
          <w:iCs/>
        </w:rPr>
        <w:t>respondeat superior</w:t>
      </w:r>
      <w:r w:rsidR="00C60CDA" w:rsidRPr="008A6DBE">
        <w:rPr>
          <w:rFonts w:ascii="Times New Roman" w:hAnsi="Times New Roman" w:cs="Times New Roman"/>
          <w:i/>
          <w:iCs/>
        </w:rPr>
        <w:t xml:space="preserve"> </w:t>
      </w:r>
      <w:r w:rsidR="00C60CDA" w:rsidRPr="008A6DBE">
        <w:rPr>
          <w:rFonts w:ascii="Times New Roman" w:hAnsi="Times New Roman" w:cs="Times New Roman"/>
        </w:rPr>
        <w:t>w</w:t>
      </w:r>
      <w:r w:rsidR="005940E1" w:rsidRPr="008A6DBE">
        <w:rPr>
          <w:rFonts w:ascii="Times New Roman" w:hAnsi="Times New Roman" w:cs="Times New Roman"/>
        </w:rPr>
        <w:t xml:space="preserve">hen a perpetrator commits an act under the scope of employment. </w:t>
      </w:r>
    </w:p>
    <w:p w14:paraId="049B284E" w14:textId="28F6ED86" w:rsidR="00C60CDA" w:rsidRPr="008A6DBE" w:rsidRDefault="006B6134" w:rsidP="001D1B8C">
      <w:pPr>
        <w:spacing w:line="276" w:lineRule="auto"/>
        <w:ind w:firstLine="720"/>
        <w:rPr>
          <w:rFonts w:ascii="Times New Roman" w:hAnsi="Times New Roman" w:cs="Times New Roman"/>
        </w:rPr>
      </w:pPr>
      <w:r w:rsidRPr="008A6DBE">
        <w:rPr>
          <w:rFonts w:ascii="Times New Roman" w:hAnsi="Times New Roman" w:cs="Times New Roman"/>
        </w:rPr>
        <w:t xml:space="preserve">However, in </w:t>
      </w:r>
      <w:r w:rsidR="00F52D91" w:rsidRPr="008A6DBE">
        <w:rPr>
          <w:rFonts w:ascii="Times New Roman" w:hAnsi="Times New Roman" w:cs="Times New Roman"/>
        </w:rPr>
        <w:t>2018</w:t>
      </w:r>
      <w:r w:rsidRPr="008A6DBE">
        <w:rPr>
          <w:rFonts w:ascii="Times New Roman" w:hAnsi="Times New Roman" w:cs="Times New Roman"/>
        </w:rPr>
        <w:t xml:space="preserve">, the Indiana Supreme Court </w:t>
      </w:r>
      <w:r w:rsidR="00C60CDA" w:rsidRPr="008A6DBE">
        <w:rPr>
          <w:rFonts w:ascii="Times New Roman" w:hAnsi="Times New Roman" w:cs="Times New Roman"/>
        </w:rPr>
        <w:t xml:space="preserve">broadened the definition of what acts may occur within the scope of one’s employment. </w:t>
      </w:r>
      <w:r w:rsidR="005940E1" w:rsidRPr="008A6DBE">
        <w:rPr>
          <w:rFonts w:ascii="Times New Roman" w:hAnsi="Times New Roman" w:cs="Times New Roman"/>
        </w:rPr>
        <w:t xml:space="preserve"> </w:t>
      </w:r>
      <w:r w:rsidR="00C60CDA" w:rsidRPr="008A6DBE">
        <w:rPr>
          <w:rFonts w:ascii="Times New Roman" w:hAnsi="Times New Roman" w:cs="Times New Roman"/>
        </w:rPr>
        <w:t>Based on this broadened scope of employment, Indiana law now suggests that even a tortious or abusive act</w:t>
      </w:r>
      <w:r w:rsidR="001D0030">
        <w:rPr>
          <w:rFonts w:ascii="Times New Roman" w:hAnsi="Times New Roman" w:cs="Times New Roman"/>
        </w:rPr>
        <w:t>, including sexual assault</w:t>
      </w:r>
      <w:r w:rsidR="0029542E">
        <w:rPr>
          <w:rFonts w:ascii="Times New Roman" w:hAnsi="Times New Roman" w:cs="Times New Roman"/>
        </w:rPr>
        <w:t>,</w:t>
      </w:r>
      <w:r w:rsidR="001D0030">
        <w:rPr>
          <w:rFonts w:ascii="Times New Roman" w:hAnsi="Times New Roman" w:cs="Times New Roman"/>
        </w:rPr>
        <w:t xml:space="preserve"> </w:t>
      </w:r>
      <w:r w:rsidR="00C60CDA" w:rsidRPr="008A6DBE">
        <w:rPr>
          <w:rFonts w:ascii="Times New Roman" w:hAnsi="Times New Roman" w:cs="Times New Roman"/>
        </w:rPr>
        <w:t xml:space="preserve">may constitute conduct that falls within the scope of one’s employment.  </w:t>
      </w:r>
    </w:p>
    <w:p w14:paraId="5CEE277C" w14:textId="4FF74324" w:rsidR="005C515B" w:rsidRPr="008A6DBE" w:rsidRDefault="00C60CDA" w:rsidP="001D1B8C">
      <w:pPr>
        <w:spacing w:line="276" w:lineRule="auto"/>
        <w:ind w:firstLine="720"/>
        <w:rPr>
          <w:rFonts w:ascii="Times New Roman" w:hAnsi="Times New Roman" w:cs="Times New Roman"/>
        </w:rPr>
      </w:pPr>
      <w:r w:rsidRPr="008A6DBE">
        <w:rPr>
          <w:rFonts w:ascii="Times New Roman" w:hAnsi="Times New Roman" w:cs="Times New Roman"/>
        </w:rPr>
        <w:t>This summer, the Indiana Court of Appeals took the new broadened scope of employment</w:t>
      </w:r>
      <w:r w:rsidR="00F52D91" w:rsidRPr="008A6DBE">
        <w:rPr>
          <w:rFonts w:ascii="Times New Roman" w:hAnsi="Times New Roman" w:cs="Times New Roman"/>
        </w:rPr>
        <w:t xml:space="preserve"> definition</w:t>
      </w:r>
      <w:r w:rsidRPr="008A6DBE">
        <w:rPr>
          <w:rFonts w:ascii="Times New Roman" w:hAnsi="Times New Roman" w:cs="Times New Roman"/>
        </w:rPr>
        <w:t xml:space="preserve"> </w:t>
      </w:r>
      <w:r w:rsidR="00F52D91" w:rsidRPr="008A6DBE">
        <w:rPr>
          <w:rFonts w:ascii="Times New Roman" w:hAnsi="Times New Roman" w:cs="Times New Roman"/>
        </w:rPr>
        <w:t xml:space="preserve">and applied </w:t>
      </w:r>
      <w:r w:rsidR="00AB0DBE">
        <w:rPr>
          <w:rFonts w:ascii="Times New Roman" w:hAnsi="Times New Roman" w:cs="Times New Roman"/>
        </w:rPr>
        <w:t xml:space="preserve">it </w:t>
      </w:r>
      <w:r w:rsidR="00F52D91" w:rsidRPr="008A6DBE">
        <w:rPr>
          <w:rFonts w:ascii="Times New Roman" w:hAnsi="Times New Roman" w:cs="Times New Roman"/>
        </w:rPr>
        <w:t>to the negligent act of a healthcare provider.  In doing so, the court determined the provider’s negligent act fell under the purview of the Indiana Medical Malpractice Act, establishing a new rule that has the potential to</w:t>
      </w:r>
      <w:r w:rsidR="004C5B0D" w:rsidRPr="008A6DBE">
        <w:rPr>
          <w:rFonts w:ascii="Times New Roman" w:hAnsi="Times New Roman" w:cs="Times New Roman"/>
        </w:rPr>
        <w:t xml:space="preserve"> largely </w:t>
      </w:r>
      <w:r w:rsidR="00F52D91" w:rsidRPr="008A6DBE">
        <w:rPr>
          <w:rFonts w:ascii="Times New Roman" w:hAnsi="Times New Roman" w:cs="Times New Roman"/>
        </w:rPr>
        <w:t>alter the way sexual assault cases must be litigated in Indiana</w:t>
      </w:r>
      <w:r w:rsidR="004C5B0D" w:rsidRPr="008A6DBE">
        <w:rPr>
          <w:rFonts w:ascii="Times New Roman" w:hAnsi="Times New Roman" w:cs="Times New Roman"/>
        </w:rPr>
        <w:t>.</w:t>
      </w:r>
    </w:p>
    <w:p w14:paraId="545B4D76" w14:textId="66F4EB27" w:rsidR="00405C85" w:rsidRPr="008A6DBE" w:rsidRDefault="00C60CDA" w:rsidP="001D1B8C">
      <w:pPr>
        <w:spacing w:line="276" w:lineRule="auto"/>
        <w:ind w:firstLine="720"/>
        <w:rPr>
          <w:rFonts w:ascii="Times New Roman" w:hAnsi="Times New Roman" w:cs="Times New Roman"/>
        </w:rPr>
      </w:pPr>
      <w:r w:rsidRPr="008A6DBE">
        <w:rPr>
          <w:rFonts w:ascii="Times New Roman" w:hAnsi="Times New Roman" w:cs="Times New Roman"/>
        </w:rPr>
        <w:t xml:space="preserve"> </w:t>
      </w:r>
      <w:r w:rsidR="006B6134" w:rsidRPr="008A6DBE">
        <w:rPr>
          <w:rFonts w:ascii="Times New Roman" w:hAnsi="Times New Roman" w:cs="Times New Roman"/>
        </w:rPr>
        <w:t xml:space="preserve"> </w:t>
      </w:r>
    </w:p>
    <w:p w14:paraId="027D0AE1" w14:textId="7682C4D4" w:rsidR="005C4C7A" w:rsidRPr="008A6DBE" w:rsidRDefault="00EB4751" w:rsidP="001D1B8C">
      <w:pPr>
        <w:pStyle w:val="ListParagraph"/>
        <w:numPr>
          <w:ilvl w:val="0"/>
          <w:numId w:val="1"/>
        </w:numPr>
        <w:spacing w:line="276" w:lineRule="auto"/>
        <w:rPr>
          <w:rFonts w:ascii="Times New Roman" w:hAnsi="Times New Roman" w:cs="Times New Roman"/>
          <w:b/>
          <w:bCs/>
          <w:i/>
          <w:iCs/>
        </w:rPr>
      </w:pPr>
      <w:r w:rsidRPr="008A6DBE">
        <w:rPr>
          <w:rFonts w:ascii="Times New Roman" w:hAnsi="Times New Roman" w:cs="Times New Roman"/>
          <w:b/>
          <w:bCs/>
        </w:rPr>
        <w:t xml:space="preserve">Common Law: </w:t>
      </w:r>
      <w:r w:rsidR="006817E5" w:rsidRPr="008A6DBE">
        <w:rPr>
          <w:rFonts w:ascii="Times New Roman" w:hAnsi="Times New Roman" w:cs="Times New Roman"/>
          <w:b/>
          <w:bCs/>
          <w:i/>
          <w:iCs/>
        </w:rPr>
        <w:t xml:space="preserve">Respondeat Superior </w:t>
      </w:r>
    </w:p>
    <w:p w14:paraId="489D91A0" w14:textId="77777777" w:rsidR="009D5E15" w:rsidRPr="008A6DBE" w:rsidRDefault="009D5E15" w:rsidP="001D1B8C">
      <w:pPr>
        <w:pStyle w:val="ListParagraph"/>
        <w:spacing w:line="276" w:lineRule="auto"/>
        <w:rPr>
          <w:rFonts w:ascii="Times New Roman" w:hAnsi="Times New Roman" w:cs="Times New Roman"/>
        </w:rPr>
      </w:pPr>
    </w:p>
    <w:p w14:paraId="3731DE20" w14:textId="7A233AA0" w:rsidR="006817E5" w:rsidRPr="008A6DBE" w:rsidRDefault="006817E5" w:rsidP="001D1B8C">
      <w:pPr>
        <w:spacing w:after="0" w:line="276" w:lineRule="auto"/>
        <w:ind w:firstLine="720"/>
        <w:jc w:val="both"/>
        <w:rPr>
          <w:rFonts w:ascii="Times New Roman" w:eastAsia="Times New Roman" w:hAnsi="Times New Roman" w:cs="Times New Roman"/>
          <w:i/>
          <w:iCs/>
        </w:rPr>
      </w:pPr>
      <w:r w:rsidRPr="008A6DBE">
        <w:rPr>
          <w:rFonts w:ascii="Times New Roman" w:eastAsia="Times New Roman" w:hAnsi="Times New Roman" w:cs="Times New Roman"/>
          <w:color w:val="000000"/>
        </w:rPr>
        <w:t xml:space="preserve">Indiana recognizes </w:t>
      </w:r>
      <w:r w:rsidRPr="008A6DBE">
        <w:rPr>
          <w:rFonts w:ascii="Times New Roman" w:eastAsia="Times New Roman" w:hAnsi="Times New Roman" w:cs="Times New Roman"/>
        </w:rPr>
        <w:t xml:space="preserve">the doctrine of </w:t>
      </w:r>
      <w:r w:rsidRPr="008A6DBE">
        <w:rPr>
          <w:rFonts w:ascii="Times New Roman" w:eastAsia="Times New Roman" w:hAnsi="Times New Roman" w:cs="Times New Roman"/>
          <w:i/>
          <w:iCs/>
        </w:rPr>
        <w:t xml:space="preserve">respondeat superior, </w:t>
      </w:r>
      <w:r w:rsidRPr="008A6DBE">
        <w:rPr>
          <w:rFonts w:ascii="Times New Roman" w:eastAsia="Times New Roman" w:hAnsi="Times New Roman" w:cs="Times New Roman"/>
        </w:rPr>
        <w:t>which is Latin for “let the superior make answer.” </w:t>
      </w:r>
      <w:r w:rsidR="00DE3D63" w:rsidRPr="008A6DBE">
        <w:rPr>
          <w:rFonts w:ascii="Times New Roman" w:eastAsia="Times New Roman" w:hAnsi="Times New Roman" w:cs="Times New Roman"/>
          <w:i/>
          <w:iCs/>
        </w:rPr>
        <w:t>Cox v. Evansville Police Department,</w:t>
      </w:r>
      <w:r w:rsidR="00DE3D63" w:rsidRPr="008A6DBE">
        <w:rPr>
          <w:rFonts w:ascii="Times New Roman" w:eastAsia="Times New Roman" w:hAnsi="Times New Roman" w:cs="Times New Roman"/>
        </w:rPr>
        <w:t xml:space="preserve"> 107 N.E.3d 453, 460 (Ind. 2018). </w:t>
      </w:r>
      <w:r w:rsidRPr="008A6DBE">
        <w:rPr>
          <w:rFonts w:ascii="Times New Roman" w:eastAsia="Times New Roman" w:hAnsi="Times New Roman" w:cs="Times New Roman"/>
        </w:rPr>
        <w:t xml:space="preserve"> Under this doctrine, an employer is liable for employees’ tortious acts only if those acts occurred within the scope of employment.</w:t>
      </w:r>
      <w:r w:rsidR="00DE3D63" w:rsidRPr="008A6DBE">
        <w:rPr>
          <w:rFonts w:ascii="Times New Roman" w:hAnsi="Times New Roman" w:cs="Times New Roman"/>
          <w:i/>
          <w:iCs/>
        </w:rPr>
        <w:t xml:space="preserve"> Id.</w:t>
      </w:r>
    </w:p>
    <w:p w14:paraId="6FD3507D" w14:textId="77777777" w:rsidR="003C0233" w:rsidRPr="008A6DBE" w:rsidRDefault="003C0233" w:rsidP="001D1B8C">
      <w:pPr>
        <w:spacing w:after="0" w:line="276" w:lineRule="auto"/>
        <w:ind w:firstLine="720"/>
        <w:jc w:val="both"/>
        <w:rPr>
          <w:rFonts w:ascii="Times New Roman" w:eastAsia="Times New Roman" w:hAnsi="Times New Roman" w:cs="Times New Roman"/>
          <w:i/>
          <w:iCs/>
        </w:rPr>
      </w:pPr>
    </w:p>
    <w:p w14:paraId="22A753A7" w14:textId="671B17E7" w:rsidR="003C0233" w:rsidRPr="008A6DBE" w:rsidRDefault="006817E5" w:rsidP="003C0233">
      <w:pPr>
        <w:spacing w:line="276" w:lineRule="auto"/>
        <w:ind w:firstLine="720"/>
        <w:rPr>
          <w:rFonts w:ascii="Times New Roman" w:eastAsia="Times New Roman" w:hAnsi="Times New Roman" w:cs="Times New Roman"/>
          <w:i/>
          <w:iCs/>
        </w:rPr>
      </w:pPr>
      <w:r w:rsidRPr="008A6DBE">
        <w:rPr>
          <w:rFonts w:ascii="Times New Roman" w:eastAsia="Times New Roman" w:hAnsi="Times New Roman" w:cs="Times New Roman"/>
        </w:rPr>
        <w:t xml:space="preserve">The scope-of-employment rule is the “general rule” of vicarious liability for both government and private employers.  </w:t>
      </w:r>
      <w:r w:rsidR="00DE3D63" w:rsidRPr="008A6DBE">
        <w:rPr>
          <w:rFonts w:ascii="Times New Roman" w:eastAsia="Times New Roman" w:hAnsi="Times New Roman" w:cs="Times New Roman"/>
          <w:i/>
          <w:iCs/>
        </w:rPr>
        <w:t>Cox,</w:t>
      </w:r>
      <w:r w:rsidR="00DE3D63" w:rsidRPr="008A6DBE">
        <w:rPr>
          <w:rFonts w:ascii="Times New Roman" w:eastAsia="Times New Roman" w:hAnsi="Times New Roman" w:cs="Times New Roman"/>
        </w:rPr>
        <w:t xml:space="preserve"> 107 N.E.3d at 460.  </w:t>
      </w:r>
      <w:r w:rsidRPr="008A6DBE">
        <w:rPr>
          <w:rFonts w:ascii="Times New Roman" w:eastAsia="Times New Roman" w:hAnsi="Times New Roman" w:cs="Times New Roman"/>
        </w:rPr>
        <w:t>Whether an act falls within the scope of employment is generally a question of fact.</w:t>
      </w:r>
      <w:r w:rsidRPr="008A6DBE">
        <w:rPr>
          <w:rFonts w:ascii="Times New Roman" w:eastAsia="Times New Roman" w:hAnsi="Times New Roman" w:cs="Times New Roman"/>
          <w:i/>
          <w:iCs/>
        </w:rPr>
        <w:t xml:space="preserve">  </w:t>
      </w:r>
      <w:r w:rsidR="00DE3D63" w:rsidRPr="008A6DBE">
        <w:rPr>
          <w:rFonts w:ascii="Times New Roman" w:hAnsi="Times New Roman" w:cs="Times New Roman"/>
          <w:i/>
          <w:iCs/>
        </w:rPr>
        <w:t>Id.</w:t>
      </w:r>
    </w:p>
    <w:p w14:paraId="352D4794" w14:textId="5568F60A" w:rsidR="009D5E15" w:rsidRPr="008A6DBE" w:rsidRDefault="005C4C7A" w:rsidP="001D1B8C">
      <w:pPr>
        <w:pStyle w:val="ListParagraph"/>
        <w:numPr>
          <w:ilvl w:val="1"/>
          <w:numId w:val="1"/>
        </w:numPr>
        <w:shd w:val="clear" w:color="auto" w:fill="FFFFFF"/>
        <w:spacing w:after="0" w:line="276" w:lineRule="auto"/>
        <w:jc w:val="both"/>
        <w:rPr>
          <w:rFonts w:ascii="Times New Roman" w:eastAsia="Times New Roman" w:hAnsi="Times New Roman" w:cs="Times New Roman"/>
          <w:b/>
          <w:bCs/>
        </w:rPr>
      </w:pPr>
      <w:r w:rsidRPr="008A6DBE">
        <w:rPr>
          <w:rFonts w:ascii="Times New Roman" w:eastAsia="Times New Roman" w:hAnsi="Times New Roman" w:cs="Times New Roman"/>
          <w:b/>
          <w:bCs/>
          <w:i/>
          <w:iCs/>
        </w:rPr>
        <w:t>Stropes v. Heritage House Childrens Center of Shelbyville, Inc.</w:t>
      </w:r>
    </w:p>
    <w:p w14:paraId="1C5115CD" w14:textId="1DFF216C" w:rsidR="009D5E15" w:rsidRPr="008A6DBE" w:rsidRDefault="009D5E15" w:rsidP="001D1B8C">
      <w:pPr>
        <w:shd w:val="clear" w:color="auto" w:fill="FFFFFF"/>
        <w:spacing w:after="0" w:line="276" w:lineRule="auto"/>
        <w:jc w:val="both"/>
        <w:rPr>
          <w:rFonts w:ascii="Times New Roman" w:eastAsia="Times New Roman" w:hAnsi="Times New Roman" w:cs="Times New Roman"/>
          <w:b/>
          <w:bCs/>
        </w:rPr>
      </w:pPr>
    </w:p>
    <w:p w14:paraId="476CC8F1" w14:textId="16247FBC" w:rsidR="009D5E15" w:rsidRPr="008A6DBE" w:rsidRDefault="009D5E15" w:rsidP="001D1B8C">
      <w:pPr>
        <w:shd w:val="clear" w:color="auto" w:fill="FFFFFF"/>
        <w:spacing w:after="0"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color w:val="000000"/>
        </w:rPr>
        <w:t xml:space="preserve">In </w:t>
      </w:r>
      <w:r w:rsidRPr="008A6DBE">
        <w:rPr>
          <w:rFonts w:ascii="Times New Roman" w:eastAsia="Times New Roman" w:hAnsi="Times New Roman" w:cs="Times New Roman"/>
          <w:i/>
          <w:iCs/>
          <w:color w:val="000000"/>
        </w:rPr>
        <w:t>Stropes</w:t>
      </w:r>
      <w:r w:rsidRPr="008A6DBE">
        <w:rPr>
          <w:rFonts w:ascii="Times New Roman" w:eastAsia="Times New Roman" w:hAnsi="Times New Roman" w:cs="Times New Roman"/>
          <w:color w:val="000000"/>
        </w:rPr>
        <w:t xml:space="preserve">, </w:t>
      </w:r>
      <w:r w:rsidR="003C0233" w:rsidRPr="008A6DBE">
        <w:rPr>
          <w:rFonts w:ascii="Times New Roman" w:eastAsia="Times New Roman" w:hAnsi="Times New Roman" w:cs="Times New Roman"/>
          <w:color w:val="000000"/>
        </w:rPr>
        <w:t>the</w:t>
      </w:r>
      <w:r w:rsidRPr="008A6DBE">
        <w:rPr>
          <w:rFonts w:ascii="Times New Roman" w:eastAsia="Times New Roman" w:hAnsi="Times New Roman" w:cs="Times New Roman"/>
          <w:color w:val="000000"/>
        </w:rPr>
        <w:t xml:space="preserve"> Indiana Supreme Court held that a children’s center which cared for intellectually disabled children could be liable under the theory of </w:t>
      </w:r>
      <w:r w:rsidRPr="008A6DBE">
        <w:rPr>
          <w:rFonts w:ascii="Times New Roman" w:eastAsia="Times New Roman" w:hAnsi="Times New Roman" w:cs="Times New Roman"/>
          <w:i/>
          <w:iCs/>
          <w:color w:val="000000"/>
        </w:rPr>
        <w:t xml:space="preserve">respondeat superior </w:t>
      </w:r>
      <w:r w:rsidRPr="008A6DBE">
        <w:rPr>
          <w:rFonts w:ascii="Times New Roman" w:eastAsia="Times New Roman" w:hAnsi="Times New Roman" w:cs="Times New Roman"/>
          <w:color w:val="000000"/>
        </w:rPr>
        <w:t xml:space="preserve">when one of its nurse aids raped a patient.  </w:t>
      </w:r>
    </w:p>
    <w:p w14:paraId="3365A5AF" w14:textId="77777777" w:rsidR="009D5E15" w:rsidRPr="008A6DBE" w:rsidRDefault="009D5E15"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 </w:t>
      </w:r>
    </w:p>
    <w:p w14:paraId="5D920623" w14:textId="1AAB9E98" w:rsidR="009D5E15" w:rsidRPr="008A6DBE" w:rsidRDefault="009D5E15" w:rsidP="001D1B8C">
      <w:pPr>
        <w:shd w:val="clear" w:color="auto" w:fill="FFFFFF"/>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 xml:space="preserve">Stropes was a 14-year </w:t>
      </w:r>
      <w:r w:rsidR="004C5B0D" w:rsidRPr="008A6DBE">
        <w:rPr>
          <w:rFonts w:ascii="Times New Roman" w:eastAsia="Times New Roman" w:hAnsi="Times New Roman" w:cs="Times New Roman"/>
          <w:color w:val="000000"/>
        </w:rPr>
        <w:t xml:space="preserve">old </w:t>
      </w:r>
      <w:r w:rsidRPr="008A6DBE">
        <w:rPr>
          <w:rFonts w:ascii="Times New Roman" w:eastAsia="Times New Roman" w:hAnsi="Times New Roman" w:cs="Times New Roman"/>
          <w:color w:val="000000"/>
        </w:rPr>
        <w:t xml:space="preserve">boy that suffered from cerebral palsy and severe intellectual disability.  </w:t>
      </w:r>
      <w:r w:rsidR="00DE3D63" w:rsidRPr="008A6DBE">
        <w:rPr>
          <w:rFonts w:ascii="Times New Roman" w:hAnsi="Times New Roman" w:cs="Times New Roman"/>
          <w:i/>
          <w:iCs/>
        </w:rPr>
        <w:t xml:space="preserve">Stropes by Taylor v. Heritage House </w:t>
      </w:r>
      <w:proofErr w:type="spellStart"/>
      <w:r w:rsidR="00DE3D63" w:rsidRPr="008A6DBE">
        <w:rPr>
          <w:rFonts w:ascii="Times New Roman" w:hAnsi="Times New Roman" w:cs="Times New Roman"/>
          <w:i/>
          <w:iCs/>
        </w:rPr>
        <w:t>Childrens</w:t>
      </w:r>
      <w:proofErr w:type="spellEnd"/>
      <w:r w:rsidR="00DE3D63" w:rsidRPr="008A6DBE">
        <w:rPr>
          <w:rFonts w:ascii="Times New Roman" w:hAnsi="Times New Roman" w:cs="Times New Roman"/>
          <w:i/>
          <w:iCs/>
        </w:rPr>
        <w:t xml:space="preserve"> Center of Shelbyville, Inc</w:t>
      </w:r>
      <w:r w:rsidR="00DE3D63" w:rsidRPr="008A6DBE">
        <w:rPr>
          <w:rFonts w:ascii="Times New Roman" w:hAnsi="Times New Roman" w:cs="Times New Roman"/>
        </w:rPr>
        <w:t xml:space="preserve">., 547 N.E.2d 244, 245 (Ind. 1989).  </w:t>
      </w:r>
      <w:r w:rsidRPr="008A6DBE">
        <w:rPr>
          <w:rFonts w:ascii="Times New Roman" w:eastAsia="Times New Roman" w:hAnsi="Times New Roman" w:cs="Times New Roman"/>
          <w:color w:val="000000"/>
        </w:rPr>
        <w:t xml:space="preserve">He was placed at the Heritage House Children’s Center of Shelbyville (“Heritage”) as a ward of the state.  </w:t>
      </w:r>
      <w:r w:rsidR="00DE3D63" w:rsidRPr="008A6DBE">
        <w:rPr>
          <w:rFonts w:ascii="Times New Roman" w:hAnsi="Times New Roman" w:cs="Times New Roman"/>
          <w:i/>
          <w:iCs/>
        </w:rPr>
        <w:t>Id.</w:t>
      </w:r>
      <w:r w:rsidR="00DE3D63" w:rsidRPr="008A6DBE">
        <w:rPr>
          <w:rFonts w:ascii="Times New Roman" w:eastAsia="Times New Roman" w:hAnsi="Times New Roman" w:cs="Times New Roman"/>
          <w:color w:val="000000"/>
        </w:rPr>
        <w:t xml:space="preserve"> O</w:t>
      </w:r>
      <w:r w:rsidRPr="008A6DBE">
        <w:rPr>
          <w:rFonts w:ascii="Times New Roman" w:eastAsia="Times New Roman" w:hAnsi="Times New Roman" w:cs="Times New Roman"/>
          <w:color w:val="000000"/>
        </w:rPr>
        <w:t>ne morning, a nurse’s aide charged with feeding, bathing, and changing Stropes’ bedding and clothing performed oral and anal sex on Stropes.</w:t>
      </w:r>
      <w:r w:rsidR="00DE3D63" w:rsidRPr="008A6DBE">
        <w:rPr>
          <w:rFonts w:ascii="Times New Roman" w:eastAsia="Times New Roman" w:hAnsi="Times New Roman" w:cs="Times New Roman"/>
          <w:color w:val="000000"/>
        </w:rPr>
        <w:t xml:space="preserve"> </w:t>
      </w:r>
      <w:r w:rsidR="00DE3D63" w:rsidRPr="008A6DBE">
        <w:rPr>
          <w:rFonts w:ascii="Times New Roman" w:eastAsia="Times New Roman" w:hAnsi="Times New Roman" w:cs="Times New Roman"/>
          <w:i/>
          <w:iCs/>
          <w:color w:val="000000"/>
        </w:rPr>
        <w:t>Id.</w:t>
      </w:r>
      <w:r w:rsidR="00A10174" w:rsidRPr="008A6DBE">
        <w:rPr>
          <w:rFonts w:ascii="Times New Roman" w:eastAsia="Times New Roman" w:hAnsi="Times New Roman" w:cs="Times New Roman"/>
          <w:i/>
          <w:iCs/>
          <w:color w:val="000000"/>
        </w:rPr>
        <w:t xml:space="preserve">  </w:t>
      </w:r>
      <w:r w:rsidRPr="008A6DBE">
        <w:rPr>
          <w:rFonts w:ascii="Times New Roman" w:eastAsia="Times New Roman" w:hAnsi="Times New Roman" w:cs="Times New Roman"/>
          <w:color w:val="000000"/>
        </w:rPr>
        <w:t>Another Heritage employee saw the incident and reported the aide.</w:t>
      </w:r>
      <w:r w:rsidR="00DE3D63" w:rsidRPr="008A6DBE">
        <w:rPr>
          <w:rFonts w:ascii="Times New Roman" w:eastAsia="Times New Roman" w:hAnsi="Times New Roman" w:cs="Times New Roman"/>
          <w:color w:val="000000"/>
        </w:rPr>
        <w:t xml:space="preserve"> </w:t>
      </w:r>
      <w:r w:rsidR="00DE3D63" w:rsidRPr="008A6DBE">
        <w:rPr>
          <w:rFonts w:ascii="Times New Roman" w:hAnsi="Times New Roman" w:cs="Times New Roman"/>
          <w:i/>
          <w:iCs/>
        </w:rPr>
        <w:t xml:space="preserve"> Id.</w:t>
      </w:r>
    </w:p>
    <w:p w14:paraId="46024535" w14:textId="77777777" w:rsidR="009D5E15" w:rsidRPr="008A6DBE" w:rsidRDefault="009D5E15" w:rsidP="001D1B8C">
      <w:pPr>
        <w:shd w:val="clear" w:color="auto" w:fill="FFFFFF"/>
        <w:spacing w:after="0" w:line="276" w:lineRule="auto"/>
        <w:ind w:firstLine="360"/>
        <w:jc w:val="both"/>
        <w:rPr>
          <w:rFonts w:ascii="Times New Roman" w:eastAsia="Times New Roman" w:hAnsi="Times New Roman" w:cs="Times New Roman"/>
          <w:color w:val="000000"/>
        </w:rPr>
      </w:pPr>
    </w:p>
    <w:p w14:paraId="6025C996" w14:textId="5D172244" w:rsidR="009D5E15" w:rsidRPr="008A6DBE" w:rsidRDefault="009D5E15" w:rsidP="001D1B8C">
      <w:pPr>
        <w:shd w:val="clear" w:color="auto" w:fill="FFFFFF"/>
        <w:spacing w:after="0"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color w:val="000000"/>
        </w:rPr>
        <w:lastRenderedPageBreak/>
        <w:t>Stropes sued Heritage claiming, in part, that Heritage was responsible for the acts committed by the aide. </w:t>
      </w:r>
      <w:r w:rsidR="00DE3D63" w:rsidRPr="008A6DBE">
        <w:rPr>
          <w:rFonts w:ascii="Times New Roman" w:hAnsi="Times New Roman" w:cs="Times New Roman"/>
          <w:i/>
          <w:iCs/>
        </w:rPr>
        <w:t>Id</w:t>
      </w:r>
      <w:r w:rsidR="00DE3D63" w:rsidRPr="008A6DBE">
        <w:rPr>
          <w:rFonts w:ascii="Times New Roman" w:hAnsi="Times New Roman" w:cs="Times New Roman"/>
        </w:rPr>
        <w:t>. at 246.</w:t>
      </w:r>
      <w:r w:rsidRPr="008A6DBE">
        <w:rPr>
          <w:rFonts w:ascii="Times New Roman" w:eastAsia="Times New Roman" w:hAnsi="Times New Roman" w:cs="Times New Roman"/>
          <w:color w:val="000000"/>
        </w:rPr>
        <w:t xml:space="preserve"> The trial court granted summary judgment in favor of Heritage on the issue of respondeat superior. </w:t>
      </w:r>
      <w:r w:rsidR="00DE3D63" w:rsidRPr="008A6DBE">
        <w:rPr>
          <w:rFonts w:ascii="Times New Roman" w:hAnsi="Times New Roman" w:cs="Times New Roman"/>
          <w:i/>
          <w:iCs/>
        </w:rPr>
        <w:t>Id.</w:t>
      </w:r>
      <w:r w:rsidRPr="008A6DBE">
        <w:rPr>
          <w:rFonts w:ascii="Times New Roman" w:eastAsia="Times New Roman" w:hAnsi="Times New Roman" w:cs="Times New Roman"/>
          <w:color w:val="000000"/>
        </w:rPr>
        <w:t xml:space="preserve"> Stropes appealed. </w:t>
      </w:r>
    </w:p>
    <w:p w14:paraId="24B35656" w14:textId="77777777" w:rsidR="009D5E15" w:rsidRPr="008A6DBE" w:rsidRDefault="009D5E15" w:rsidP="001D1B8C">
      <w:pPr>
        <w:shd w:val="clear" w:color="auto" w:fill="FFFFFF"/>
        <w:spacing w:after="0" w:line="276" w:lineRule="auto"/>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ab/>
      </w:r>
    </w:p>
    <w:p w14:paraId="0F03E8BA" w14:textId="5B8A8236" w:rsidR="009D5E15" w:rsidRPr="008A6DBE" w:rsidRDefault="003C0233" w:rsidP="001D1B8C">
      <w:pPr>
        <w:shd w:val="clear" w:color="auto" w:fill="FFFFFF"/>
        <w:spacing w:after="0"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color w:val="000000"/>
        </w:rPr>
        <w:t>The</w:t>
      </w:r>
      <w:r w:rsidR="009D5E15" w:rsidRPr="008A6DBE">
        <w:rPr>
          <w:rFonts w:ascii="Times New Roman" w:eastAsia="Times New Roman" w:hAnsi="Times New Roman" w:cs="Times New Roman"/>
          <w:color w:val="000000"/>
        </w:rPr>
        <w:t xml:space="preserve"> Indiana Supreme Court held that the act of sexual assault could not be </w:t>
      </w:r>
      <w:r w:rsidR="009D5E15" w:rsidRPr="008A6DBE">
        <w:rPr>
          <w:rFonts w:ascii="Times New Roman" w:eastAsia="Times New Roman" w:hAnsi="Times New Roman" w:cs="Times New Roman"/>
          <w:i/>
          <w:iCs/>
          <w:color w:val="000000"/>
        </w:rPr>
        <w:t>per se</w:t>
      </w:r>
      <w:r w:rsidR="009D5E15" w:rsidRPr="008A6DBE">
        <w:rPr>
          <w:rFonts w:ascii="Times New Roman" w:eastAsia="Times New Roman" w:hAnsi="Times New Roman" w:cs="Times New Roman"/>
          <w:color w:val="000000"/>
        </w:rPr>
        <w:t xml:space="preserve"> outside the scope of employment as a matter of law.  </w:t>
      </w:r>
      <w:r w:rsidR="00DE3D63" w:rsidRPr="008A6DBE">
        <w:rPr>
          <w:rFonts w:ascii="Times New Roman" w:hAnsi="Times New Roman" w:cs="Times New Roman"/>
          <w:i/>
          <w:iCs/>
        </w:rPr>
        <w:t xml:space="preserve">Stropes, </w:t>
      </w:r>
      <w:r w:rsidR="00DE3D63" w:rsidRPr="008A6DBE">
        <w:rPr>
          <w:rFonts w:ascii="Times New Roman" w:hAnsi="Times New Roman" w:cs="Times New Roman"/>
        </w:rPr>
        <w:t>547 N.E.2d at 249.</w:t>
      </w:r>
      <w:r w:rsidR="00DE3D63" w:rsidRPr="008A6DBE">
        <w:rPr>
          <w:rFonts w:ascii="Times New Roman" w:hAnsi="Times New Roman" w:cs="Times New Roman"/>
          <w:i/>
          <w:iCs/>
        </w:rPr>
        <w:t xml:space="preserve"> </w:t>
      </w:r>
      <w:r w:rsidR="009D5E15" w:rsidRPr="008A6DBE">
        <w:rPr>
          <w:rFonts w:ascii="Times New Roman" w:eastAsia="Times New Roman" w:hAnsi="Times New Roman" w:cs="Times New Roman"/>
          <w:color w:val="000000"/>
        </w:rPr>
        <w:t>The court reasoned in part:</w:t>
      </w:r>
    </w:p>
    <w:p w14:paraId="2403E5FD" w14:textId="77777777" w:rsidR="009D5E15" w:rsidRPr="008A6DBE" w:rsidRDefault="009D5E15"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 </w:t>
      </w:r>
    </w:p>
    <w:p w14:paraId="449ADA26" w14:textId="6BB246F4" w:rsidR="009D5E15" w:rsidRPr="008A6DBE" w:rsidRDefault="009D5E15" w:rsidP="008A6DBE">
      <w:pPr>
        <w:pStyle w:val="BlockQuote"/>
        <w:rPr>
          <w:rFonts w:ascii="Times New Roman" w:hAnsi="Times New Roman" w:cs="Times New Roman"/>
        </w:rPr>
      </w:pPr>
      <w:r w:rsidRPr="008A6DBE">
        <w:rPr>
          <w:rFonts w:ascii="Times New Roman" w:hAnsi="Times New Roman" w:cs="Times New Roman"/>
          <w:shd w:val="clear" w:color="auto" w:fill="FFFFFF"/>
        </w:rPr>
        <w:t xml:space="preserve">A blanket rule holding all sexual attacks outside the scope of employment as a matter of law because they satisfy the perpetrators' personal desires would draw an unprincipled distinction between such assaults and other types of crimes which employees may commit in response to other personal motivations, such as anger or financial pressures. </w:t>
      </w:r>
      <w:r w:rsidR="006A76D4" w:rsidRPr="008A6DBE">
        <w:rPr>
          <w:rFonts w:ascii="Times New Roman" w:hAnsi="Times New Roman" w:cs="Times New Roman"/>
          <w:shd w:val="clear" w:color="auto" w:fill="FFFFFF"/>
        </w:rPr>
        <w:t xml:space="preserve"> </w:t>
      </w:r>
      <w:r w:rsidRPr="008A6DBE">
        <w:rPr>
          <w:rFonts w:ascii="Times New Roman" w:hAnsi="Times New Roman" w:cs="Times New Roman"/>
          <w:shd w:val="clear" w:color="auto" w:fill="FFFFFF"/>
        </w:rPr>
        <w:t>Rather, the nature of the wrongful act should be a consideration in the assessment of whether and to what extent Griffin's acts fell within the scope of his employment such that Heritage should be held accountable.</w:t>
      </w:r>
    </w:p>
    <w:p w14:paraId="03AFC956" w14:textId="77777777" w:rsidR="009D5E15" w:rsidRPr="008A6DBE" w:rsidRDefault="009D5E15"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 </w:t>
      </w:r>
    </w:p>
    <w:p w14:paraId="09CBA071" w14:textId="3B0ADAB0" w:rsidR="009D5E15" w:rsidRPr="008A6DBE" w:rsidRDefault="00DE3D63" w:rsidP="001D1B8C">
      <w:pPr>
        <w:shd w:val="clear" w:color="auto" w:fill="FFFFFF"/>
        <w:spacing w:after="0" w:line="276" w:lineRule="auto"/>
        <w:jc w:val="both"/>
        <w:rPr>
          <w:rFonts w:ascii="Times New Roman" w:eastAsia="Times New Roman" w:hAnsi="Times New Roman" w:cs="Times New Roman"/>
        </w:rPr>
      </w:pPr>
      <w:r w:rsidRPr="008A6DBE">
        <w:rPr>
          <w:rFonts w:ascii="Times New Roman" w:hAnsi="Times New Roman" w:cs="Times New Roman"/>
          <w:i/>
          <w:iCs/>
        </w:rPr>
        <w:t xml:space="preserve">Id.  </w:t>
      </w:r>
      <w:r w:rsidR="009D5E15" w:rsidRPr="008A6DBE">
        <w:rPr>
          <w:rFonts w:ascii="Times New Roman" w:eastAsia="Times New Roman" w:hAnsi="Times New Roman" w:cs="Times New Roman"/>
          <w:color w:val="000000"/>
        </w:rPr>
        <w:t>The Court noted that although “[r]</w:t>
      </w:r>
      <w:proofErr w:type="spellStart"/>
      <w:r w:rsidR="009D5E15" w:rsidRPr="008A6DBE">
        <w:rPr>
          <w:rFonts w:ascii="Times New Roman" w:eastAsia="Times New Roman" w:hAnsi="Times New Roman" w:cs="Times New Roman"/>
          <w:color w:val="000000"/>
          <w:shd w:val="clear" w:color="auto" w:fill="FFFFFF"/>
        </w:rPr>
        <w:t>ape</w:t>
      </w:r>
      <w:proofErr w:type="spellEnd"/>
      <w:r w:rsidR="009D5E15" w:rsidRPr="008A6DBE">
        <w:rPr>
          <w:rFonts w:ascii="Times New Roman" w:eastAsia="Times New Roman" w:hAnsi="Times New Roman" w:cs="Times New Roman"/>
          <w:color w:val="000000"/>
          <w:shd w:val="clear" w:color="auto" w:fill="FFFFFF"/>
        </w:rPr>
        <w:t xml:space="preserve"> and sexual abuse constitute arguably the most egregious instances of wrongful acts which an employee could commit on the job and lend themselves to arguably the most instinctive conclusion that such acts could never be within the scope of one's employment,”  other courts had recognized that the resolution of the question “does not turn on the type of act committed or on the perpetrator's emotional baggage accompanying the attack</w:t>
      </w:r>
      <w:r w:rsidR="009D5E15" w:rsidRPr="008A6DBE">
        <w:rPr>
          <w:rFonts w:ascii="Times New Roman" w:eastAsia="Times New Roman" w:hAnsi="Times New Roman" w:cs="Times New Roman"/>
          <w:i/>
          <w:iCs/>
          <w:color w:val="000000"/>
          <w:shd w:val="clear" w:color="auto" w:fill="FFFFFF"/>
        </w:rPr>
        <w:t>.”  Id.</w:t>
      </w:r>
      <w:r w:rsidR="009D5E15" w:rsidRPr="008A6DBE">
        <w:rPr>
          <w:rFonts w:ascii="Times New Roman" w:eastAsia="Times New Roman" w:hAnsi="Times New Roman" w:cs="Times New Roman"/>
          <w:color w:val="000000"/>
          <w:shd w:val="clear" w:color="auto" w:fill="FFFFFF"/>
        </w:rPr>
        <w:t xml:space="preserve">   Rather, the Court reasoned, “these courts indicate that the focus must be on how the employment relates to the context in which the commission of the wrongful act arose</w:t>
      </w:r>
      <w:r w:rsidR="009D5E15" w:rsidRPr="008A6DBE">
        <w:rPr>
          <w:rFonts w:ascii="Times New Roman" w:eastAsia="Times New Roman" w:hAnsi="Times New Roman" w:cs="Times New Roman"/>
          <w:i/>
          <w:iCs/>
          <w:color w:val="000000"/>
          <w:shd w:val="clear" w:color="auto" w:fill="FFFFFF"/>
        </w:rPr>
        <w:t xml:space="preserve">.”  </w:t>
      </w:r>
      <w:r w:rsidRPr="008A6DBE">
        <w:rPr>
          <w:rFonts w:ascii="Times New Roman" w:hAnsi="Times New Roman" w:cs="Times New Roman"/>
          <w:i/>
          <w:iCs/>
        </w:rPr>
        <w:t>Id.</w:t>
      </w:r>
    </w:p>
    <w:p w14:paraId="63D6CB5E" w14:textId="77777777" w:rsidR="009D5E15" w:rsidRPr="008A6DBE" w:rsidRDefault="009D5E15"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 </w:t>
      </w:r>
    </w:p>
    <w:p w14:paraId="5FB1EA0C" w14:textId="66B4FC14" w:rsidR="009D5E15" w:rsidRPr="008A6DBE" w:rsidRDefault="009D5E15" w:rsidP="001D1B8C">
      <w:pPr>
        <w:shd w:val="clear" w:color="auto" w:fill="FFFFFF"/>
        <w:spacing w:after="0" w:line="276" w:lineRule="auto"/>
        <w:ind w:firstLine="720"/>
        <w:jc w:val="both"/>
        <w:rPr>
          <w:rFonts w:ascii="Times New Roman" w:eastAsia="Times New Roman" w:hAnsi="Times New Roman" w:cs="Times New Roman"/>
          <w:i/>
          <w:iCs/>
          <w:color w:val="000000"/>
        </w:rPr>
      </w:pPr>
      <w:r w:rsidRPr="008A6DBE">
        <w:rPr>
          <w:rFonts w:ascii="Times New Roman" w:eastAsia="Times New Roman" w:hAnsi="Times New Roman" w:cs="Times New Roman"/>
          <w:color w:val="000000"/>
        </w:rPr>
        <w:t xml:space="preserve">The Court then went on to reason that “[a] jury presented with the facts of [that] case might find that [the nurse aide] acted to an appreciable extent to further his master's business, and “that his actions were, at least for a time, authorized by his employer, related to the service for which he was employed, and motivated to an extent by [his employer's] interests.”  </w:t>
      </w:r>
      <w:r w:rsidR="00DE3D63" w:rsidRPr="008A6DBE">
        <w:rPr>
          <w:rFonts w:ascii="Times New Roman" w:hAnsi="Times New Roman" w:cs="Times New Roman"/>
          <w:i/>
          <w:iCs/>
        </w:rPr>
        <w:t xml:space="preserve">Id. </w:t>
      </w:r>
      <w:r w:rsidR="00DE3D63" w:rsidRPr="008A6DBE">
        <w:rPr>
          <w:rFonts w:ascii="Times New Roman" w:eastAsia="Times New Roman" w:hAnsi="Times New Roman" w:cs="Times New Roman"/>
          <w:color w:val="000000"/>
        </w:rPr>
        <w:t>at 250.  T</w:t>
      </w:r>
      <w:r w:rsidRPr="008A6DBE">
        <w:rPr>
          <w:rFonts w:ascii="Times New Roman" w:eastAsia="Times New Roman" w:hAnsi="Times New Roman" w:cs="Times New Roman"/>
          <w:color w:val="000000"/>
        </w:rPr>
        <w:t>herefore, the Court reasoned, a jury might conclude “his wrongful acts fell within the scope of his employment and Heritage should be accountable</w:t>
      </w:r>
      <w:r w:rsidRPr="008A6DBE">
        <w:rPr>
          <w:rFonts w:ascii="Times New Roman" w:eastAsia="Times New Roman" w:hAnsi="Times New Roman" w:cs="Times New Roman"/>
          <w:i/>
          <w:iCs/>
          <w:color w:val="000000"/>
        </w:rPr>
        <w:t>.</w:t>
      </w:r>
      <w:r w:rsidR="00403587" w:rsidRPr="008A6DBE">
        <w:rPr>
          <w:rFonts w:ascii="Times New Roman" w:eastAsia="Times New Roman" w:hAnsi="Times New Roman" w:cs="Times New Roman"/>
          <w:i/>
          <w:iCs/>
          <w:color w:val="000000"/>
        </w:rPr>
        <w:t>”</w:t>
      </w:r>
      <w:r w:rsidRPr="008A6DBE">
        <w:rPr>
          <w:rFonts w:ascii="Times New Roman" w:eastAsia="Times New Roman" w:hAnsi="Times New Roman" w:cs="Times New Roman"/>
          <w:i/>
          <w:iCs/>
          <w:color w:val="000000"/>
        </w:rPr>
        <w:t xml:space="preserve"> </w:t>
      </w:r>
      <w:r w:rsidR="00DE3D63" w:rsidRPr="008A6DBE">
        <w:rPr>
          <w:rFonts w:ascii="Times New Roman" w:hAnsi="Times New Roman" w:cs="Times New Roman"/>
          <w:i/>
          <w:iCs/>
        </w:rPr>
        <w:t>Id.</w:t>
      </w:r>
      <w:r w:rsidRPr="008A6DBE">
        <w:rPr>
          <w:rFonts w:ascii="Times New Roman" w:eastAsia="Times New Roman" w:hAnsi="Times New Roman" w:cs="Times New Roman"/>
          <w:i/>
          <w:iCs/>
          <w:color w:val="000000"/>
        </w:rPr>
        <w:t xml:space="preserve"> </w:t>
      </w:r>
      <w:r w:rsidRPr="008A6DBE">
        <w:rPr>
          <w:rFonts w:ascii="Times New Roman" w:eastAsia="Times New Roman" w:hAnsi="Times New Roman" w:cs="Times New Roman"/>
          <w:color w:val="000000"/>
        </w:rPr>
        <w:t xml:space="preserve">“Conversely,” the Court reasoned, “a jury might find that [the aide’s] acts were so divorced in time, place and purpose from his employment duties as to preclude the imposition of liability on his employer.”  </w:t>
      </w:r>
      <w:r w:rsidR="00DE3D63" w:rsidRPr="008A6DBE">
        <w:rPr>
          <w:rFonts w:ascii="Times New Roman" w:hAnsi="Times New Roman" w:cs="Times New Roman"/>
          <w:i/>
          <w:iCs/>
        </w:rPr>
        <w:t xml:space="preserve">Id.  </w:t>
      </w:r>
      <w:r w:rsidRPr="008A6DBE">
        <w:rPr>
          <w:rFonts w:ascii="Times New Roman" w:eastAsia="Times New Roman" w:hAnsi="Times New Roman" w:cs="Times New Roman"/>
          <w:color w:val="000000"/>
        </w:rPr>
        <w:t xml:space="preserve">The Court concluded “the nature of the acts were, at the very least, sufficiently associated with [the nurse aide’s] authorized duties to escape dismissal on summary judgment.” </w:t>
      </w:r>
      <w:r w:rsidR="00DE3D63" w:rsidRPr="008A6DBE">
        <w:rPr>
          <w:rFonts w:ascii="Times New Roman" w:hAnsi="Times New Roman" w:cs="Times New Roman"/>
          <w:i/>
          <w:iCs/>
        </w:rPr>
        <w:t>Id.</w:t>
      </w:r>
    </w:p>
    <w:p w14:paraId="3136C613" w14:textId="77777777" w:rsidR="00E119FF" w:rsidRPr="008A6DBE" w:rsidRDefault="00E119FF" w:rsidP="001D1B8C">
      <w:pPr>
        <w:shd w:val="clear" w:color="auto" w:fill="FFFFFF"/>
        <w:spacing w:after="0" w:line="276" w:lineRule="auto"/>
        <w:ind w:firstLine="720"/>
        <w:jc w:val="both"/>
        <w:rPr>
          <w:rFonts w:ascii="Times New Roman" w:eastAsia="Times New Roman" w:hAnsi="Times New Roman" w:cs="Times New Roman"/>
          <w:color w:val="000000"/>
        </w:rPr>
      </w:pPr>
    </w:p>
    <w:p w14:paraId="0EF6B444" w14:textId="40FCA646" w:rsidR="00F52D91" w:rsidRPr="008A6DBE" w:rsidRDefault="00E119FF" w:rsidP="001D1B8C">
      <w:pPr>
        <w:pStyle w:val="ListParagraph"/>
        <w:numPr>
          <w:ilvl w:val="0"/>
          <w:numId w:val="1"/>
        </w:numPr>
        <w:shd w:val="clear" w:color="auto" w:fill="FFFFFF"/>
        <w:spacing w:after="0" w:line="276" w:lineRule="auto"/>
        <w:jc w:val="both"/>
        <w:rPr>
          <w:rFonts w:ascii="Times New Roman" w:hAnsi="Times New Roman" w:cs="Times New Roman"/>
          <w:b/>
          <w:bCs/>
        </w:rPr>
      </w:pPr>
      <w:r w:rsidRPr="008A6DBE">
        <w:rPr>
          <w:rFonts w:ascii="Times New Roman" w:hAnsi="Times New Roman" w:cs="Times New Roman"/>
          <w:b/>
          <w:bCs/>
        </w:rPr>
        <w:t>The Indiana Medical Malpractice Act</w:t>
      </w:r>
    </w:p>
    <w:p w14:paraId="096113B6" w14:textId="77777777" w:rsidR="00E119FF" w:rsidRPr="008A6DBE" w:rsidRDefault="00E119FF" w:rsidP="001D1B8C">
      <w:pPr>
        <w:shd w:val="clear" w:color="auto" w:fill="FFFFFF"/>
        <w:spacing w:after="0" w:line="276" w:lineRule="auto"/>
        <w:jc w:val="both"/>
        <w:rPr>
          <w:rFonts w:ascii="Times New Roman" w:eastAsia="Times New Roman" w:hAnsi="Times New Roman" w:cs="Times New Roman"/>
          <w:i/>
          <w:iCs/>
          <w:color w:val="000000"/>
        </w:rPr>
      </w:pPr>
    </w:p>
    <w:p w14:paraId="1E65D68B" w14:textId="3368BBD2" w:rsidR="00E119FF" w:rsidRPr="008A6DBE" w:rsidRDefault="00E119FF" w:rsidP="001D1B8C">
      <w:pPr>
        <w:shd w:val="clear" w:color="auto" w:fill="FFFFFF"/>
        <w:spacing w:after="0"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rPr>
        <w:t>Under the Indiana Medical Malpractice Act (“MMA”</w:t>
      </w:r>
      <w:r w:rsidR="00E542CC" w:rsidRPr="008A6DBE">
        <w:rPr>
          <w:rFonts w:ascii="Times New Roman" w:eastAsia="Times New Roman" w:hAnsi="Times New Roman" w:cs="Times New Roman"/>
        </w:rPr>
        <w:t xml:space="preserve"> or “Act”</w:t>
      </w:r>
      <w:r w:rsidRPr="008A6DBE">
        <w:rPr>
          <w:rFonts w:ascii="Times New Roman" w:eastAsia="Times New Roman" w:hAnsi="Times New Roman" w:cs="Times New Roman"/>
        </w:rPr>
        <w:t>), a patient who has a claim for bodily injury or death due to medical malpractice may file a complaint in any court with jurisdiction</w:t>
      </w:r>
      <w:r w:rsidRPr="008A6DBE">
        <w:rPr>
          <w:rFonts w:ascii="Times New Roman" w:eastAsia="Times New Roman" w:hAnsi="Times New Roman" w:cs="Times New Roman"/>
          <w:i/>
          <w:iCs/>
        </w:rPr>
        <w:t>.</w:t>
      </w:r>
      <w:r w:rsidR="00403587" w:rsidRPr="008A6DBE">
        <w:rPr>
          <w:rFonts w:ascii="Times New Roman" w:eastAsia="Times New Roman" w:hAnsi="Times New Roman" w:cs="Times New Roman"/>
          <w:i/>
          <w:iCs/>
        </w:rPr>
        <w:t xml:space="preserve"> </w:t>
      </w:r>
      <w:r w:rsidRPr="008A6DBE">
        <w:rPr>
          <w:rFonts w:ascii="Times New Roman" w:eastAsia="Times New Roman" w:hAnsi="Times New Roman" w:cs="Times New Roman"/>
          <w:i/>
          <w:iCs/>
        </w:rPr>
        <w:t xml:space="preserve"> </w:t>
      </w:r>
      <w:r w:rsidR="00DE3D63" w:rsidRPr="008A6DBE">
        <w:rPr>
          <w:rFonts w:ascii="Times New Roman" w:eastAsia="Times New Roman" w:hAnsi="Times New Roman" w:cs="Times New Roman"/>
        </w:rPr>
        <w:t xml:space="preserve">Ind. Code § 34-18-8-1.  </w:t>
      </w:r>
      <w:r w:rsidRPr="008A6DBE">
        <w:rPr>
          <w:rFonts w:ascii="Times New Roman" w:eastAsia="Times New Roman" w:hAnsi="Times New Roman" w:cs="Times New Roman"/>
        </w:rPr>
        <w:t>“However, Indiana Code section 34-1-8-4 creates a condition precedent to trying a medical malpractice case in court,</w:t>
      </w:r>
      <w:r w:rsidRPr="008A6DBE">
        <w:rPr>
          <w:rFonts w:ascii="Times New Roman" w:hAnsi="Times New Roman" w:cs="Times New Roman"/>
        </w:rPr>
        <w:t xml:space="preserve"> namely, that “an action against a health care provider may not be commenced in a court in Indiana before: (1) the claimant's proposed complaint has been presented to a medical review panel ... and (2) an opinion is given by the panel.”</w:t>
      </w:r>
      <w:r w:rsidR="00403587" w:rsidRPr="008A6DBE">
        <w:rPr>
          <w:rFonts w:ascii="Times New Roman" w:hAnsi="Times New Roman" w:cs="Times New Roman"/>
        </w:rPr>
        <w:t xml:space="preserve"> </w:t>
      </w:r>
      <w:r w:rsidR="00DE3D63" w:rsidRPr="008A6DBE">
        <w:rPr>
          <w:rFonts w:ascii="Times New Roman" w:eastAsia="Times New Roman" w:hAnsi="Times New Roman" w:cs="Times New Roman"/>
          <w:i/>
          <w:iCs/>
        </w:rPr>
        <w:t xml:space="preserve"> Martinez v. Oaklawn Psychiatric Ctr., Inc.,</w:t>
      </w:r>
      <w:r w:rsidR="00DE3D63" w:rsidRPr="008A6DBE">
        <w:rPr>
          <w:rFonts w:ascii="Times New Roman" w:eastAsia="Times New Roman" w:hAnsi="Times New Roman" w:cs="Times New Roman"/>
        </w:rPr>
        <w:t xml:space="preserve"> 128 N.E.3d 549, 555 (Ind. Ct. App. 2019), </w:t>
      </w:r>
      <w:r w:rsidR="00DE3D63" w:rsidRPr="008A6DBE">
        <w:rPr>
          <w:rFonts w:ascii="Times New Roman" w:eastAsia="Times New Roman" w:hAnsi="Times New Roman" w:cs="Times New Roman"/>
          <w:i/>
          <w:iCs/>
        </w:rPr>
        <w:t>clarified on reh'g</w:t>
      </w:r>
      <w:r w:rsidR="00DE3D63" w:rsidRPr="008A6DBE">
        <w:rPr>
          <w:rFonts w:ascii="Times New Roman" w:eastAsia="Times New Roman" w:hAnsi="Times New Roman" w:cs="Times New Roman"/>
        </w:rPr>
        <w:t>, No. 18A-CT-2883, 2019 WL 4312956 (Ind. Ct. App. Sept. 12, 2019).</w:t>
      </w:r>
      <w:r w:rsidRPr="008A6DBE">
        <w:rPr>
          <w:rFonts w:ascii="Times New Roman" w:eastAsia="Times New Roman" w:hAnsi="Times New Roman" w:cs="Times New Roman"/>
        </w:rPr>
        <w:t xml:space="preserve">  “Thus, until a medical review panel has issued its opinion, the trial court has no jurisdiction to hear and adjudicate the claim.</w:t>
      </w:r>
      <w:r w:rsidR="00403587" w:rsidRPr="008A6DBE">
        <w:rPr>
          <w:rFonts w:ascii="Times New Roman" w:eastAsia="Times New Roman" w:hAnsi="Times New Roman" w:cs="Times New Roman"/>
        </w:rPr>
        <w:t>”</w:t>
      </w:r>
      <w:r w:rsidRPr="008A6DBE">
        <w:rPr>
          <w:rFonts w:ascii="Times New Roman" w:eastAsia="Times New Roman" w:hAnsi="Times New Roman" w:cs="Times New Roman"/>
        </w:rPr>
        <w:t xml:space="preserve">  </w:t>
      </w:r>
      <w:r w:rsidR="00DE3D63" w:rsidRPr="008A6DBE">
        <w:rPr>
          <w:rFonts w:ascii="Times New Roman" w:eastAsia="Times New Roman" w:hAnsi="Times New Roman" w:cs="Times New Roman"/>
          <w:i/>
          <w:iCs/>
        </w:rPr>
        <w:t>Martinez</w:t>
      </w:r>
      <w:r w:rsidR="00DE3D63" w:rsidRPr="008A6DBE">
        <w:rPr>
          <w:rFonts w:ascii="Times New Roman" w:eastAsia="Times New Roman" w:hAnsi="Times New Roman" w:cs="Times New Roman"/>
        </w:rPr>
        <w:t>, 128 N.E.3d at 555.</w:t>
      </w:r>
    </w:p>
    <w:p w14:paraId="43E461D8" w14:textId="77777777" w:rsidR="00E119FF" w:rsidRPr="008A6DBE" w:rsidRDefault="00E119FF" w:rsidP="001D1B8C">
      <w:pPr>
        <w:shd w:val="clear" w:color="auto" w:fill="FFFFFF"/>
        <w:spacing w:after="0" w:line="276" w:lineRule="auto"/>
        <w:jc w:val="both"/>
        <w:rPr>
          <w:rFonts w:ascii="Times New Roman" w:eastAsia="Times New Roman" w:hAnsi="Times New Roman" w:cs="Times New Roman"/>
        </w:rPr>
      </w:pPr>
    </w:p>
    <w:p w14:paraId="2B8A8305" w14:textId="5E096BBE" w:rsidR="00E119FF" w:rsidRPr="008A6DBE" w:rsidRDefault="00E119FF" w:rsidP="008A6DBE">
      <w:pPr>
        <w:spacing w:after="0" w:line="240" w:lineRule="auto"/>
        <w:ind w:left="720" w:right="720"/>
        <w:jc w:val="both"/>
        <w:rPr>
          <w:rFonts w:ascii="Times New Roman" w:eastAsia="Times New Roman" w:hAnsi="Times New Roman" w:cs="Times New Roman"/>
        </w:rPr>
      </w:pPr>
      <w:r w:rsidRPr="008A6DBE">
        <w:rPr>
          <w:rFonts w:ascii="Times New Roman" w:eastAsia="Times New Roman" w:hAnsi="Times New Roman" w:cs="Times New Roman"/>
          <w:shd w:val="clear" w:color="auto" w:fill="FFFFFF"/>
        </w:rPr>
        <w:lastRenderedPageBreak/>
        <w:t xml:space="preserve">“Malpractice” is defined as “a tort or breach of contract based on health care or professional services that were provided, or that should have been provided, by a health care provider, to a patient.” I.C. § 34-18-2-18. A “patient” is “an individual who receives or should have received health care from a health care provider, under a contract, express or implied, and includes a person having a claim of any kind, whether derivative or otherwise, as a result of alleged malpractice on the part of a health care provider.” I.C. § 34-18-2-22. </w:t>
      </w:r>
      <w:r w:rsidR="0024024D" w:rsidRPr="008A6DBE">
        <w:rPr>
          <w:rFonts w:ascii="Times New Roman" w:eastAsia="Times New Roman" w:hAnsi="Times New Roman" w:cs="Times New Roman"/>
          <w:shd w:val="clear" w:color="auto" w:fill="FFFFFF"/>
        </w:rPr>
        <w:t xml:space="preserve"> </w:t>
      </w:r>
      <w:r w:rsidRPr="008A6DBE">
        <w:rPr>
          <w:rFonts w:ascii="Times New Roman" w:eastAsia="Times New Roman" w:hAnsi="Times New Roman" w:cs="Times New Roman"/>
          <w:shd w:val="clear" w:color="auto" w:fill="FFFFFF"/>
        </w:rPr>
        <w:t>And “health care” is “an act or treatment performed or furnished, or that should have been performed or furnished, by a health care provider for, to, or on behalf of a patient during the patient's medical care, treatment, or confinement.” I.C. § 34-18-2-13.</w:t>
      </w:r>
      <w:r w:rsidR="0024024D" w:rsidRPr="008A6DBE">
        <w:rPr>
          <w:rStyle w:val="FootnoteReference"/>
          <w:rFonts w:ascii="Times New Roman" w:eastAsia="Times New Roman" w:hAnsi="Times New Roman" w:cs="Times New Roman"/>
          <w:shd w:val="clear" w:color="auto" w:fill="FFFFFF"/>
        </w:rPr>
        <w:t xml:space="preserve"> </w:t>
      </w:r>
      <w:r w:rsidRPr="008A6DBE">
        <w:rPr>
          <w:rFonts w:ascii="Times New Roman" w:eastAsia="Times New Roman" w:hAnsi="Times New Roman" w:cs="Times New Roman"/>
        </w:rPr>
        <w:br/>
      </w:r>
    </w:p>
    <w:p w14:paraId="236CACE5" w14:textId="77777777" w:rsidR="00E119FF" w:rsidRPr="008A6DBE" w:rsidRDefault="00E119FF" w:rsidP="001D1B8C">
      <w:pPr>
        <w:spacing w:after="0" w:line="276" w:lineRule="auto"/>
        <w:jc w:val="both"/>
        <w:rPr>
          <w:rFonts w:ascii="Times New Roman" w:eastAsia="Times New Roman" w:hAnsi="Times New Roman" w:cs="Times New Roman"/>
        </w:rPr>
      </w:pPr>
    </w:p>
    <w:p w14:paraId="1B319340" w14:textId="3C501F79" w:rsidR="00E119FF" w:rsidRPr="008A6DBE" w:rsidRDefault="00143979" w:rsidP="00143979">
      <w:pPr>
        <w:spacing w:after="0" w:line="240" w:lineRule="auto"/>
        <w:jc w:val="both"/>
        <w:rPr>
          <w:rFonts w:ascii="Times New Roman" w:eastAsia="Times New Roman" w:hAnsi="Times New Roman" w:cs="Times New Roman"/>
        </w:rPr>
      </w:pPr>
      <w:r w:rsidRPr="008A6DBE">
        <w:rPr>
          <w:rFonts w:ascii="Times New Roman" w:eastAsia="Times New Roman" w:hAnsi="Times New Roman" w:cs="Times New Roman"/>
          <w:i/>
          <w:iCs/>
        </w:rPr>
        <w:t>Id.</w:t>
      </w:r>
      <w:r w:rsidRPr="008A6DBE">
        <w:rPr>
          <w:rFonts w:ascii="Times New Roman" w:eastAsia="Times New Roman" w:hAnsi="Times New Roman" w:cs="Times New Roman"/>
        </w:rPr>
        <w:t xml:space="preserve"> (quoting </w:t>
      </w:r>
      <w:r w:rsidRPr="008A6DBE">
        <w:rPr>
          <w:rFonts w:ascii="Times New Roman" w:eastAsia="Times New Roman" w:hAnsi="Times New Roman" w:cs="Times New Roman"/>
          <w:i/>
          <w:iCs/>
        </w:rPr>
        <w:t xml:space="preserve">B.R. ex </w:t>
      </w:r>
      <w:proofErr w:type="spellStart"/>
      <w:r w:rsidRPr="008A6DBE">
        <w:rPr>
          <w:rFonts w:ascii="Times New Roman" w:eastAsia="Times New Roman" w:hAnsi="Times New Roman" w:cs="Times New Roman"/>
          <w:i/>
          <w:iCs/>
        </w:rPr>
        <w:t>rel</w:t>
      </w:r>
      <w:proofErr w:type="spellEnd"/>
      <w:r w:rsidRPr="008A6DBE">
        <w:rPr>
          <w:rFonts w:ascii="Times New Roman" w:eastAsia="Times New Roman" w:hAnsi="Times New Roman" w:cs="Times New Roman"/>
          <w:i/>
          <w:iCs/>
        </w:rPr>
        <w:t xml:space="preserve"> Todd v. State</w:t>
      </w:r>
      <w:r w:rsidRPr="008A6DBE">
        <w:rPr>
          <w:rFonts w:ascii="Times New Roman" w:eastAsia="Times New Roman" w:hAnsi="Times New Roman" w:cs="Times New Roman"/>
        </w:rPr>
        <w:t xml:space="preserve">, 1 N.E.3d 708, 713 (Ind. Ct. App. 2013)). </w:t>
      </w:r>
      <w:r w:rsidR="00E119FF" w:rsidRPr="008A6DBE">
        <w:rPr>
          <w:rFonts w:ascii="Times New Roman" w:eastAsia="Times New Roman" w:hAnsi="Times New Roman" w:cs="Times New Roman"/>
          <w:shd w:val="clear" w:color="auto" w:fill="FFFFFF"/>
        </w:rPr>
        <w:t>“The [MMA] covers curative or salutary conduct of a health care provider acting within his or her professional capacity, but not conduct unrelated to the promotion of a patient's health or the provider's exercise of professional expertise, skill, or judgment.”</w:t>
      </w:r>
      <w:r w:rsidR="008A6DBE" w:rsidRPr="008A6DBE">
        <w:rPr>
          <w:rFonts w:ascii="Times New Roman" w:eastAsia="Times New Roman" w:hAnsi="Times New Roman" w:cs="Times New Roman"/>
          <w:shd w:val="clear" w:color="auto" w:fill="FFFFFF"/>
        </w:rPr>
        <w:t xml:space="preserve"> </w:t>
      </w:r>
      <w:r w:rsidR="0024024D" w:rsidRPr="008A6DBE">
        <w:rPr>
          <w:rFonts w:ascii="Times New Roman" w:eastAsia="Times New Roman" w:hAnsi="Times New Roman" w:cs="Times New Roman"/>
          <w:shd w:val="clear" w:color="auto" w:fill="FFFFFF"/>
        </w:rPr>
        <w:t xml:space="preserve"> </w:t>
      </w:r>
      <w:r w:rsidRPr="008A6DBE">
        <w:rPr>
          <w:rFonts w:ascii="Times New Roman" w:eastAsia="Times New Roman" w:hAnsi="Times New Roman" w:cs="Times New Roman"/>
          <w:i/>
          <w:iCs/>
          <w:shd w:val="clear" w:color="auto" w:fill="FFFFFF"/>
        </w:rPr>
        <w:t>Martinez</w:t>
      </w:r>
      <w:r w:rsidRPr="008A6DBE">
        <w:rPr>
          <w:rFonts w:ascii="Times New Roman" w:eastAsia="Times New Roman" w:hAnsi="Times New Roman" w:cs="Times New Roman"/>
          <w:shd w:val="clear" w:color="auto" w:fill="FFFFFF"/>
        </w:rPr>
        <w:t xml:space="preserve">, 128 N.E.3d at 556.  </w:t>
      </w:r>
      <w:r w:rsidR="00E119FF" w:rsidRPr="008A6DBE">
        <w:rPr>
          <w:rFonts w:ascii="Times New Roman" w:eastAsia="Times New Roman" w:hAnsi="Times New Roman" w:cs="Times New Roman"/>
          <w:shd w:val="clear" w:color="auto" w:fill="FFFFFF"/>
        </w:rPr>
        <w:t xml:space="preserve"> Indiana Code section 34-18-2-14 defines a “healthcare provider” as:</w:t>
      </w:r>
    </w:p>
    <w:p w14:paraId="57EAD1B8" w14:textId="77777777" w:rsidR="00E119FF" w:rsidRPr="008A6DBE" w:rsidRDefault="00E119FF" w:rsidP="001D1B8C">
      <w:pPr>
        <w:spacing w:after="0" w:line="276" w:lineRule="auto"/>
        <w:jc w:val="both"/>
        <w:rPr>
          <w:rFonts w:ascii="Times New Roman" w:eastAsia="Times New Roman" w:hAnsi="Times New Roman" w:cs="Times New Roman"/>
          <w:shd w:val="clear" w:color="auto" w:fill="FFFFFF"/>
        </w:rPr>
      </w:pPr>
    </w:p>
    <w:p w14:paraId="667C6705" w14:textId="2E944B26" w:rsidR="00E119FF" w:rsidRPr="008A6DBE" w:rsidRDefault="00E119FF" w:rsidP="008A6DBE">
      <w:pPr>
        <w:spacing w:after="0" w:line="240" w:lineRule="auto"/>
        <w:ind w:left="720" w:right="720"/>
        <w:jc w:val="both"/>
        <w:rPr>
          <w:rFonts w:ascii="Times New Roman" w:hAnsi="Times New Roman" w:cs="Times New Roman"/>
        </w:rPr>
      </w:pPr>
      <w:r w:rsidRPr="008A6DBE">
        <w:rPr>
          <w:rFonts w:ascii="Times New Roman" w:hAnsi="Times New Roman" w:cs="Times New Roman"/>
        </w:rPr>
        <w:t>An individual, a partnership, a limited liability company, a corporation, a professional corporation, a facility, or an institution licensed or legally authorized by this state to provide health care or professional services as a physician, psychiatric hospital, hospital, health facility, emergency ambulance service [ ], dentist, registered or licensed practical nurse, physician assistant, certified nurse midwife, anesthesiologist assistant, optometrist, podiatrist, chiropractor, physical therapist, respiratory care practitioner, occupational therapist, psychologist, paramedic, advanced emergency medical technician, or emergency medical technician, or a person who is an officer, employee, or agent of the individual, partnership, corporation, professional corporation, facility, or institution acting in the course and scope of the person's employment.</w:t>
      </w:r>
    </w:p>
    <w:p w14:paraId="0A13BF42" w14:textId="77777777" w:rsidR="008A6DBE" w:rsidRPr="008A6DBE" w:rsidRDefault="008A6DBE" w:rsidP="001D1B8C">
      <w:pPr>
        <w:spacing w:after="0" w:line="276" w:lineRule="auto"/>
        <w:ind w:left="720" w:right="720"/>
        <w:jc w:val="both"/>
        <w:rPr>
          <w:rFonts w:ascii="Times New Roman" w:hAnsi="Times New Roman" w:cs="Times New Roman"/>
        </w:rPr>
      </w:pPr>
    </w:p>
    <w:p w14:paraId="3A2C81F5" w14:textId="10DDA0EF" w:rsidR="0024024D" w:rsidRPr="008A6DBE" w:rsidRDefault="00143979" w:rsidP="00143979">
      <w:pPr>
        <w:spacing w:after="0" w:line="276" w:lineRule="auto"/>
        <w:ind w:right="720"/>
        <w:jc w:val="both"/>
        <w:rPr>
          <w:rFonts w:ascii="Times New Roman" w:eastAsia="Times New Roman" w:hAnsi="Times New Roman" w:cs="Times New Roman"/>
          <w:shd w:val="clear" w:color="auto" w:fill="FFFFFF"/>
        </w:rPr>
      </w:pPr>
      <w:r w:rsidRPr="008A6DBE">
        <w:rPr>
          <w:rFonts w:ascii="Times New Roman" w:eastAsia="Times New Roman" w:hAnsi="Times New Roman" w:cs="Times New Roman"/>
          <w:i/>
          <w:iCs/>
          <w:shd w:val="clear" w:color="auto" w:fill="FFFFFF"/>
        </w:rPr>
        <w:t>Martinez</w:t>
      </w:r>
      <w:r w:rsidRPr="008A6DBE">
        <w:rPr>
          <w:rFonts w:ascii="Times New Roman" w:eastAsia="Times New Roman" w:hAnsi="Times New Roman" w:cs="Times New Roman"/>
          <w:shd w:val="clear" w:color="auto" w:fill="FFFFFF"/>
        </w:rPr>
        <w:t xml:space="preserve">, 128 N.E.3d at 556.  </w:t>
      </w:r>
    </w:p>
    <w:p w14:paraId="2173B490" w14:textId="77777777" w:rsidR="00143979" w:rsidRPr="008A6DBE" w:rsidRDefault="00143979" w:rsidP="00143979">
      <w:pPr>
        <w:spacing w:after="0" w:line="276" w:lineRule="auto"/>
        <w:ind w:right="720"/>
        <w:jc w:val="both"/>
        <w:rPr>
          <w:rFonts w:ascii="Times New Roman" w:hAnsi="Times New Roman" w:cs="Times New Roman"/>
        </w:rPr>
      </w:pPr>
    </w:p>
    <w:p w14:paraId="4D89093A" w14:textId="4B907A00" w:rsidR="00E119FF" w:rsidRPr="008A6DBE" w:rsidRDefault="00E119FF" w:rsidP="001D1B8C">
      <w:pPr>
        <w:spacing w:after="0" w:line="276" w:lineRule="auto"/>
        <w:jc w:val="both"/>
        <w:rPr>
          <w:rFonts w:ascii="Times New Roman" w:eastAsia="Times New Roman" w:hAnsi="Times New Roman" w:cs="Times New Roman"/>
          <w:i/>
          <w:iCs/>
          <w:shd w:val="clear" w:color="auto" w:fill="FFFFFF"/>
        </w:rPr>
      </w:pPr>
      <w:r w:rsidRPr="008A6DBE">
        <w:rPr>
          <w:rFonts w:ascii="Times New Roman" w:eastAsia="Times New Roman" w:hAnsi="Times New Roman" w:cs="Times New Roman"/>
          <w:shd w:val="clear" w:color="auto" w:fill="FFFFFF"/>
        </w:rPr>
        <w:t xml:space="preserve">When deciding whether a claim falls under the MMA, courts are guided by the substance of a claim to determine applicability of the Act.  </w:t>
      </w:r>
      <w:r w:rsidR="00143979" w:rsidRPr="008A6DBE">
        <w:rPr>
          <w:rFonts w:ascii="Times New Roman" w:eastAsia="Times New Roman" w:hAnsi="Times New Roman" w:cs="Times New Roman"/>
          <w:i/>
          <w:iCs/>
          <w:shd w:val="clear" w:color="auto" w:fill="FFFFFF"/>
        </w:rPr>
        <w:t xml:space="preserve">Id. </w:t>
      </w:r>
      <w:r w:rsidRPr="008A6DBE">
        <w:rPr>
          <w:rFonts w:ascii="Times New Roman" w:eastAsia="Times New Roman" w:hAnsi="Times New Roman" w:cs="Times New Roman"/>
          <w:shd w:val="clear" w:color="auto" w:fill="FFFFFF"/>
        </w:rPr>
        <w:t xml:space="preserve">The fact that the alleged misconduct occurred in a healthcare facility, or that the injured party was a patient at the facility, is not dispositive in determining whether the claim sounds in medical malpractice. </w:t>
      </w:r>
      <w:r w:rsidR="0024024D" w:rsidRPr="008A6DBE">
        <w:rPr>
          <w:rFonts w:ascii="Times New Roman" w:eastAsia="Times New Roman" w:hAnsi="Times New Roman" w:cs="Times New Roman"/>
          <w:shd w:val="clear" w:color="auto" w:fill="FFFFFF"/>
        </w:rPr>
        <w:t xml:space="preserve"> </w:t>
      </w:r>
      <w:r w:rsidR="00143979" w:rsidRPr="008A6DBE">
        <w:rPr>
          <w:rFonts w:ascii="Times New Roman" w:eastAsia="Times New Roman" w:hAnsi="Times New Roman" w:cs="Times New Roman"/>
          <w:i/>
          <w:iCs/>
          <w:shd w:val="clear" w:color="auto" w:fill="FFFFFF"/>
        </w:rPr>
        <w:t xml:space="preserve">Id. </w:t>
      </w:r>
      <w:r w:rsidRPr="008A6DBE">
        <w:rPr>
          <w:rFonts w:ascii="Times New Roman" w:eastAsia="Times New Roman" w:hAnsi="Times New Roman" w:cs="Times New Roman"/>
          <w:shd w:val="clear" w:color="auto" w:fill="FFFFFF"/>
        </w:rPr>
        <w:t xml:space="preserve">Instead, courts consider whether the claim is based on the provider’s behavior or practices while acting in his or her professional capacity as a provider of medical services.  </w:t>
      </w:r>
      <w:r w:rsidR="00143979" w:rsidRPr="008A6DBE">
        <w:rPr>
          <w:rFonts w:ascii="Times New Roman" w:eastAsia="Times New Roman" w:hAnsi="Times New Roman" w:cs="Times New Roman"/>
          <w:i/>
          <w:iCs/>
          <w:shd w:val="clear" w:color="auto" w:fill="FFFFFF"/>
        </w:rPr>
        <w:t>Id.</w:t>
      </w:r>
    </w:p>
    <w:p w14:paraId="22BF7091" w14:textId="77777777" w:rsidR="0024024D" w:rsidRPr="008A6DBE" w:rsidRDefault="0024024D" w:rsidP="001D1B8C">
      <w:pPr>
        <w:pStyle w:val="ListParagraph"/>
        <w:shd w:val="clear" w:color="auto" w:fill="FFFFFF"/>
        <w:spacing w:after="0" w:line="276" w:lineRule="auto"/>
        <w:ind w:left="1440"/>
        <w:jc w:val="both"/>
        <w:rPr>
          <w:rFonts w:ascii="Times New Roman" w:eastAsia="Times New Roman" w:hAnsi="Times New Roman" w:cs="Times New Roman"/>
          <w:b/>
          <w:bCs/>
        </w:rPr>
      </w:pPr>
    </w:p>
    <w:p w14:paraId="37D02815" w14:textId="7351C354" w:rsidR="005C4C7A" w:rsidRPr="008A6DBE" w:rsidRDefault="005C4C7A" w:rsidP="001D1B8C">
      <w:pPr>
        <w:pStyle w:val="ListParagraph"/>
        <w:numPr>
          <w:ilvl w:val="1"/>
          <w:numId w:val="1"/>
        </w:numPr>
        <w:shd w:val="clear" w:color="auto" w:fill="FFFFFF"/>
        <w:spacing w:after="0" w:line="276" w:lineRule="auto"/>
        <w:jc w:val="both"/>
        <w:rPr>
          <w:rFonts w:ascii="Times New Roman" w:eastAsia="Times New Roman" w:hAnsi="Times New Roman" w:cs="Times New Roman"/>
          <w:b/>
          <w:bCs/>
        </w:rPr>
      </w:pPr>
      <w:r w:rsidRPr="008A6DBE">
        <w:rPr>
          <w:rFonts w:ascii="Times New Roman" w:eastAsia="Times New Roman" w:hAnsi="Times New Roman" w:cs="Times New Roman"/>
          <w:b/>
          <w:bCs/>
          <w:i/>
          <w:iCs/>
        </w:rPr>
        <w:t>Collins v. Thakkar,</w:t>
      </w:r>
      <w:r w:rsidRPr="008A6DBE">
        <w:rPr>
          <w:rFonts w:ascii="Times New Roman" w:eastAsia="Times New Roman" w:hAnsi="Times New Roman" w:cs="Times New Roman"/>
          <w:b/>
          <w:bCs/>
        </w:rPr>
        <w:t xml:space="preserve"> 552 N.E.2d 507 (Ind. Ct. App. 1990)</w:t>
      </w:r>
    </w:p>
    <w:p w14:paraId="5FEE06F2" w14:textId="4BCB814D" w:rsidR="009D5E15" w:rsidRPr="008A6DBE" w:rsidRDefault="009D5E15" w:rsidP="001D1B8C">
      <w:pPr>
        <w:shd w:val="clear" w:color="auto" w:fill="FFFFFF"/>
        <w:spacing w:after="0" w:line="276" w:lineRule="auto"/>
        <w:jc w:val="both"/>
        <w:rPr>
          <w:rFonts w:ascii="Times New Roman" w:eastAsia="Times New Roman" w:hAnsi="Times New Roman" w:cs="Times New Roman"/>
          <w:b/>
          <w:bCs/>
        </w:rPr>
      </w:pPr>
    </w:p>
    <w:p w14:paraId="6CCCA1D1" w14:textId="77777777" w:rsidR="009D5E15" w:rsidRPr="008A6DBE" w:rsidRDefault="009D5E15" w:rsidP="001D1B8C">
      <w:pPr>
        <w:spacing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rPr>
        <w:t xml:space="preserve">In </w:t>
      </w:r>
      <w:r w:rsidRPr="008A6DBE">
        <w:rPr>
          <w:rFonts w:ascii="Times New Roman" w:eastAsia="Times New Roman" w:hAnsi="Times New Roman" w:cs="Times New Roman"/>
          <w:i/>
          <w:iCs/>
        </w:rPr>
        <w:t>Collins v. Thakkar</w:t>
      </w:r>
      <w:r w:rsidRPr="008A6DBE">
        <w:rPr>
          <w:rFonts w:ascii="Times New Roman" w:eastAsia="Times New Roman" w:hAnsi="Times New Roman" w:cs="Times New Roman"/>
        </w:rPr>
        <w:t xml:space="preserve">, our Indiana Court of Appeals held that a claim against doctor who impregnated a patient and then aborted her fetus without her consent did not fall under the purview of the MMA.  </w:t>
      </w:r>
    </w:p>
    <w:p w14:paraId="0168D01B" w14:textId="7064C936" w:rsidR="009D5E15" w:rsidRPr="008A6DBE" w:rsidRDefault="009D5E15" w:rsidP="001D1B8C">
      <w:pPr>
        <w:spacing w:line="276" w:lineRule="auto"/>
        <w:ind w:firstLine="720"/>
        <w:jc w:val="both"/>
        <w:rPr>
          <w:rFonts w:ascii="Times New Roman" w:hAnsi="Times New Roman" w:cs="Times New Roman"/>
        </w:rPr>
      </w:pPr>
      <w:r w:rsidRPr="008A6DBE">
        <w:rPr>
          <w:rFonts w:ascii="Times New Roman" w:eastAsia="Times New Roman" w:hAnsi="Times New Roman" w:cs="Times New Roman"/>
        </w:rPr>
        <w:t xml:space="preserve">In that case, </w:t>
      </w:r>
      <w:r w:rsidRPr="008A6DBE">
        <w:rPr>
          <w:rFonts w:ascii="Times New Roman" w:hAnsi="Times New Roman" w:cs="Times New Roman"/>
        </w:rPr>
        <w:t>Collins became a patient of Thakkar’s</w:t>
      </w:r>
      <w:r w:rsidR="0024024D" w:rsidRPr="008A6DBE">
        <w:rPr>
          <w:rFonts w:ascii="Times New Roman" w:hAnsi="Times New Roman" w:cs="Times New Roman"/>
        </w:rPr>
        <w:t xml:space="preserve"> in March 1984</w:t>
      </w:r>
      <w:r w:rsidRPr="008A6DBE">
        <w:rPr>
          <w:rFonts w:ascii="Times New Roman" w:hAnsi="Times New Roman" w:cs="Times New Roman"/>
        </w:rPr>
        <w:t xml:space="preserve">. </w:t>
      </w:r>
      <w:r w:rsidR="00143979" w:rsidRPr="008A6DBE">
        <w:rPr>
          <w:rFonts w:ascii="Times New Roman" w:eastAsia="Times New Roman" w:hAnsi="Times New Roman" w:cs="Times New Roman"/>
          <w:i/>
          <w:iCs/>
        </w:rPr>
        <w:t>Collins v. Thakkar,</w:t>
      </w:r>
      <w:r w:rsidR="00143979" w:rsidRPr="008A6DBE">
        <w:rPr>
          <w:rFonts w:ascii="Times New Roman" w:eastAsia="Times New Roman" w:hAnsi="Times New Roman" w:cs="Times New Roman"/>
        </w:rPr>
        <w:t xml:space="preserve"> 552 N.E.2d 507, 509 (Ind. Ct. App. 1990).</w:t>
      </w:r>
      <w:r w:rsidRPr="008A6DBE">
        <w:rPr>
          <w:rFonts w:ascii="Times New Roman" w:hAnsi="Times New Roman" w:cs="Times New Roman"/>
        </w:rPr>
        <w:t xml:space="preserve">  They developed a relationship that involved periodic sexual intercourse. </w:t>
      </w:r>
      <w:r w:rsidR="00143979" w:rsidRPr="008A6DBE">
        <w:rPr>
          <w:rFonts w:ascii="Times New Roman" w:eastAsia="Times New Roman" w:hAnsi="Times New Roman" w:cs="Times New Roman"/>
          <w:i/>
          <w:iCs/>
        </w:rPr>
        <w:t xml:space="preserve">Id. </w:t>
      </w:r>
      <w:r w:rsidR="008862A9" w:rsidRPr="008A6DBE">
        <w:rPr>
          <w:rFonts w:ascii="Times New Roman" w:hAnsi="Times New Roman" w:cs="Times New Roman"/>
        </w:rPr>
        <w:t xml:space="preserve">In 1988, </w:t>
      </w:r>
      <w:r w:rsidRPr="008A6DBE">
        <w:rPr>
          <w:rFonts w:ascii="Times New Roman" w:hAnsi="Times New Roman" w:cs="Times New Roman"/>
        </w:rPr>
        <w:t>Collins</w:t>
      </w:r>
      <w:r w:rsidR="008862A9" w:rsidRPr="008A6DBE">
        <w:rPr>
          <w:rFonts w:ascii="Times New Roman" w:hAnsi="Times New Roman" w:cs="Times New Roman"/>
        </w:rPr>
        <w:t xml:space="preserve"> consulted with </w:t>
      </w:r>
      <w:r w:rsidRPr="008A6DBE">
        <w:rPr>
          <w:rFonts w:ascii="Times New Roman" w:hAnsi="Times New Roman" w:cs="Times New Roman"/>
        </w:rPr>
        <w:t>Thakkar</w:t>
      </w:r>
      <w:r w:rsidR="008862A9" w:rsidRPr="008A6DBE">
        <w:rPr>
          <w:rFonts w:ascii="Times New Roman" w:hAnsi="Times New Roman" w:cs="Times New Roman"/>
        </w:rPr>
        <w:t xml:space="preserve"> about the possibility that she w</w:t>
      </w:r>
      <w:r w:rsidRPr="008A6DBE">
        <w:rPr>
          <w:rFonts w:ascii="Times New Roman" w:hAnsi="Times New Roman" w:cs="Times New Roman"/>
        </w:rPr>
        <w:t>as pregnant</w:t>
      </w:r>
      <w:r w:rsidR="008862A9" w:rsidRPr="008A6DBE">
        <w:rPr>
          <w:rFonts w:ascii="Times New Roman" w:hAnsi="Times New Roman" w:cs="Times New Roman"/>
        </w:rPr>
        <w:t xml:space="preserve"> by him.</w:t>
      </w:r>
      <w:r w:rsidR="008A6DBE" w:rsidRPr="008A6DBE">
        <w:rPr>
          <w:rFonts w:ascii="Times New Roman" w:hAnsi="Times New Roman" w:cs="Times New Roman"/>
        </w:rPr>
        <w:t xml:space="preserve"> </w:t>
      </w:r>
      <w:r w:rsidR="008862A9" w:rsidRPr="008A6DBE">
        <w:rPr>
          <w:rFonts w:ascii="Times New Roman" w:hAnsi="Times New Roman" w:cs="Times New Roman"/>
        </w:rPr>
        <w:t xml:space="preserve"> </w:t>
      </w:r>
      <w:r w:rsidR="00143979" w:rsidRPr="008A6DBE">
        <w:rPr>
          <w:rFonts w:ascii="Times New Roman" w:eastAsia="Times New Roman" w:hAnsi="Times New Roman" w:cs="Times New Roman"/>
          <w:i/>
          <w:iCs/>
        </w:rPr>
        <w:t xml:space="preserve">Id. </w:t>
      </w:r>
      <w:r w:rsidRPr="008A6DBE">
        <w:rPr>
          <w:rFonts w:ascii="Times New Roman" w:hAnsi="Times New Roman" w:cs="Times New Roman"/>
        </w:rPr>
        <w:t xml:space="preserve"> Thakkar performed an examination of Collins after ordinary office hours.  Thakkar advised Collins that she was not pregnant and then, twice, without her consent and over her protest, “did some act with a metal instrument inside her as to inflict excruciating pain upon her.</w:t>
      </w:r>
      <w:r w:rsidR="008862A9" w:rsidRPr="008A6DBE">
        <w:rPr>
          <w:rFonts w:ascii="Times New Roman" w:hAnsi="Times New Roman" w:cs="Times New Roman"/>
        </w:rPr>
        <w:t>”</w:t>
      </w:r>
      <w:r w:rsidRPr="008A6DBE">
        <w:rPr>
          <w:rFonts w:ascii="Times New Roman" w:hAnsi="Times New Roman" w:cs="Times New Roman"/>
        </w:rPr>
        <w:t xml:space="preserve"> </w:t>
      </w:r>
      <w:r w:rsidR="00143979" w:rsidRPr="008A6DBE">
        <w:rPr>
          <w:rFonts w:ascii="Times New Roman" w:eastAsia="Times New Roman" w:hAnsi="Times New Roman" w:cs="Times New Roman"/>
          <w:i/>
          <w:iCs/>
        </w:rPr>
        <w:t xml:space="preserve">Id. </w:t>
      </w:r>
      <w:r w:rsidR="00143979" w:rsidRPr="008A6DBE">
        <w:rPr>
          <w:rFonts w:ascii="Times New Roman" w:eastAsia="Times New Roman" w:hAnsi="Times New Roman" w:cs="Times New Roman"/>
        </w:rPr>
        <w:t>at 509.</w:t>
      </w:r>
      <w:r w:rsidRPr="008A6DBE">
        <w:rPr>
          <w:rFonts w:ascii="Times New Roman" w:hAnsi="Times New Roman" w:cs="Times New Roman"/>
        </w:rPr>
        <w:t xml:space="preserve"> </w:t>
      </w:r>
    </w:p>
    <w:p w14:paraId="2D0454FB" w14:textId="2D7C6771" w:rsidR="009D5E15" w:rsidRPr="008A6DBE" w:rsidRDefault="009D5E15" w:rsidP="001D1B8C">
      <w:pPr>
        <w:spacing w:line="276" w:lineRule="auto"/>
        <w:ind w:firstLine="720"/>
        <w:jc w:val="both"/>
        <w:rPr>
          <w:rFonts w:ascii="Times New Roman" w:hAnsi="Times New Roman" w:cs="Times New Roman"/>
        </w:rPr>
      </w:pPr>
      <w:r w:rsidRPr="008A6DBE">
        <w:rPr>
          <w:rFonts w:ascii="Times New Roman" w:hAnsi="Times New Roman" w:cs="Times New Roman"/>
        </w:rPr>
        <w:lastRenderedPageBreak/>
        <w:t xml:space="preserve">Collins sued, argued Thakkar intentionally aborted the birthing process of her unborn fetus, causing her to miscarry.  </w:t>
      </w:r>
      <w:r w:rsidR="00143979" w:rsidRPr="008A6DBE">
        <w:rPr>
          <w:rFonts w:ascii="Times New Roman" w:eastAsia="Times New Roman" w:hAnsi="Times New Roman" w:cs="Times New Roman"/>
          <w:i/>
          <w:iCs/>
        </w:rPr>
        <w:t xml:space="preserve">Id. </w:t>
      </w:r>
      <w:r w:rsidR="00143979" w:rsidRPr="008A6DBE">
        <w:rPr>
          <w:rFonts w:ascii="Times New Roman" w:hAnsi="Times New Roman" w:cs="Times New Roman"/>
        </w:rPr>
        <w:t xml:space="preserve"> </w:t>
      </w:r>
      <w:r w:rsidRPr="008A6DBE">
        <w:rPr>
          <w:rFonts w:ascii="Times New Roman" w:hAnsi="Times New Roman" w:cs="Times New Roman"/>
        </w:rPr>
        <w:t xml:space="preserve">The trial court dismissed Plaintiff’s complaint for lack of subject matter jurisdiction under </w:t>
      </w:r>
      <w:r w:rsidR="005164D9" w:rsidRPr="008A6DBE">
        <w:rPr>
          <w:rFonts w:ascii="Times New Roman" w:hAnsi="Times New Roman" w:cs="Times New Roman"/>
        </w:rPr>
        <w:t xml:space="preserve">Indiana </w:t>
      </w:r>
      <w:r w:rsidRPr="008A6DBE">
        <w:rPr>
          <w:rFonts w:ascii="Times New Roman" w:hAnsi="Times New Roman" w:cs="Times New Roman"/>
        </w:rPr>
        <w:t>T</w:t>
      </w:r>
      <w:r w:rsidR="005164D9" w:rsidRPr="008A6DBE">
        <w:rPr>
          <w:rFonts w:ascii="Times New Roman" w:hAnsi="Times New Roman" w:cs="Times New Roman"/>
        </w:rPr>
        <w:t xml:space="preserve">rial </w:t>
      </w:r>
      <w:r w:rsidRPr="008A6DBE">
        <w:rPr>
          <w:rFonts w:ascii="Times New Roman" w:hAnsi="Times New Roman" w:cs="Times New Roman"/>
        </w:rPr>
        <w:t>R</w:t>
      </w:r>
      <w:r w:rsidR="005164D9" w:rsidRPr="008A6DBE">
        <w:rPr>
          <w:rFonts w:ascii="Times New Roman" w:hAnsi="Times New Roman" w:cs="Times New Roman"/>
        </w:rPr>
        <w:t>ule</w:t>
      </w:r>
      <w:r w:rsidRPr="008A6DBE">
        <w:rPr>
          <w:rFonts w:ascii="Times New Roman" w:hAnsi="Times New Roman" w:cs="Times New Roman"/>
        </w:rPr>
        <w:t xml:space="preserve"> 12(B)(1) finding the allegations fell under the MMA.</w:t>
      </w:r>
      <w:r w:rsidR="00143979" w:rsidRPr="008A6DBE">
        <w:rPr>
          <w:rFonts w:ascii="Times New Roman" w:eastAsia="Times New Roman" w:hAnsi="Times New Roman" w:cs="Times New Roman"/>
          <w:i/>
          <w:iCs/>
        </w:rPr>
        <w:t xml:space="preserve"> Id. </w:t>
      </w:r>
    </w:p>
    <w:p w14:paraId="56BFDB95" w14:textId="33B0102A" w:rsidR="009D5E15" w:rsidRPr="008A6DBE" w:rsidRDefault="009D5E15" w:rsidP="001D1B8C">
      <w:pPr>
        <w:shd w:val="clear" w:color="auto" w:fill="FFFFFF"/>
        <w:spacing w:after="0" w:line="276" w:lineRule="auto"/>
        <w:ind w:firstLine="720"/>
        <w:jc w:val="both"/>
        <w:rPr>
          <w:rFonts w:ascii="Times New Roman" w:hAnsi="Times New Roman" w:cs="Times New Roman"/>
        </w:rPr>
      </w:pPr>
      <w:r w:rsidRPr="008A6DBE">
        <w:rPr>
          <w:rFonts w:ascii="Times New Roman" w:hAnsi="Times New Roman" w:cs="Times New Roman"/>
        </w:rPr>
        <w:t xml:space="preserve">The </w:t>
      </w:r>
      <w:r w:rsidR="005164D9" w:rsidRPr="008A6DBE">
        <w:rPr>
          <w:rFonts w:ascii="Times New Roman" w:hAnsi="Times New Roman" w:cs="Times New Roman"/>
        </w:rPr>
        <w:t xml:space="preserve">Indiana </w:t>
      </w:r>
      <w:r w:rsidRPr="008A6DBE">
        <w:rPr>
          <w:rFonts w:ascii="Times New Roman" w:hAnsi="Times New Roman" w:cs="Times New Roman"/>
        </w:rPr>
        <w:t xml:space="preserve">Court of Appeals reversed the trial court.  In part, the court reasoned that </w:t>
      </w:r>
      <w:r w:rsidR="00E542CC" w:rsidRPr="008A6DBE">
        <w:rPr>
          <w:rFonts w:ascii="Times New Roman" w:hAnsi="Times New Roman" w:cs="Times New Roman"/>
        </w:rPr>
        <w:t>the text of the Act</w:t>
      </w:r>
      <w:r w:rsidRPr="008A6DBE">
        <w:rPr>
          <w:rFonts w:ascii="Times New Roman" w:hAnsi="Times New Roman" w:cs="Times New Roman"/>
        </w:rPr>
        <w:t xml:space="preserve"> </w:t>
      </w:r>
      <w:r w:rsidR="00E542CC" w:rsidRPr="008A6DBE">
        <w:rPr>
          <w:rFonts w:ascii="Times New Roman" w:hAnsi="Times New Roman" w:cs="Times New Roman"/>
        </w:rPr>
        <w:t xml:space="preserve">led the court to conclude that </w:t>
      </w:r>
      <w:r w:rsidRPr="008A6DBE">
        <w:rPr>
          <w:rFonts w:ascii="Times New Roman" w:hAnsi="Times New Roman" w:cs="Times New Roman"/>
        </w:rPr>
        <w:t>the General Assembly intended to exclude from the legislator’s purview conduct of a provider unrelated to the promotion of a patient’s health or the provider’s exercise of professional expertise, skill, or judgment.</w:t>
      </w:r>
      <w:r w:rsidR="008A6DBE" w:rsidRPr="008A6DBE">
        <w:rPr>
          <w:rFonts w:ascii="Times New Roman" w:hAnsi="Times New Roman" w:cs="Times New Roman"/>
        </w:rPr>
        <w:t xml:space="preserve"> </w:t>
      </w:r>
      <w:r w:rsidRPr="008A6DBE">
        <w:rPr>
          <w:rFonts w:ascii="Times New Roman" w:hAnsi="Times New Roman" w:cs="Times New Roman"/>
        </w:rPr>
        <w:t xml:space="preserve">  </w:t>
      </w:r>
      <w:r w:rsidR="00143979" w:rsidRPr="008A6DBE">
        <w:rPr>
          <w:rFonts w:ascii="Times New Roman" w:eastAsia="Times New Roman" w:hAnsi="Times New Roman" w:cs="Times New Roman"/>
          <w:i/>
          <w:iCs/>
          <w:shd w:val="clear" w:color="auto" w:fill="FFFFFF"/>
        </w:rPr>
        <w:t xml:space="preserve">Id. </w:t>
      </w:r>
      <w:r w:rsidR="00143979" w:rsidRPr="008A6DBE">
        <w:rPr>
          <w:rFonts w:ascii="Times New Roman" w:hAnsi="Times New Roman" w:cs="Times New Roman"/>
        </w:rPr>
        <w:t xml:space="preserve">at 510. </w:t>
      </w:r>
      <w:r w:rsidR="00E542CC" w:rsidRPr="008A6DBE">
        <w:rPr>
          <w:rFonts w:ascii="Times New Roman" w:hAnsi="Times New Roman" w:cs="Times New Roman"/>
        </w:rPr>
        <w:t xml:space="preserve">The </w:t>
      </w:r>
      <w:r w:rsidRPr="008A6DBE">
        <w:rPr>
          <w:rFonts w:ascii="Times New Roman" w:hAnsi="Times New Roman" w:cs="Times New Roman"/>
        </w:rPr>
        <w:t>court reasoned, Thakkar’s acts were not designed to promote the patient’s health, did not call into question Thakkar’s use of the skill or expertise  required of members of the medical profession, and that, “as with an ordinary negligence action, the allegations of Collin’s complaint present[ed] the kinds of factual issues capable of resolution by a jury without application of the standard of care prevalent in the local medical community.”</w:t>
      </w:r>
      <w:r w:rsidR="008A6DBE" w:rsidRPr="008A6DBE">
        <w:rPr>
          <w:rFonts w:ascii="Times New Roman" w:hAnsi="Times New Roman" w:cs="Times New Roman"/>
        </w:rPr>
        <w:t xml:space="preserve">  </w:t>
      </w:r>
      <w:r w:rsidR="00143979" w:rsidRPr="008A6DBE">
        <w:rPr>
          <w:rFonts w:ascii="Times New Roman" w:eastAsia="Times New Roman" w:hAnsi="Times New Roman" w:cs="Times New Roman"/>
          <w:i/>
          <w:iCs/>
          <w:shd w:val="clear" w:color="auto" w:fill="FFFFFF"/>
        </w:rPr>
        <w:t xml:space="preserve">Id. </w:t>
      </w:r>
      <w:r w:rsidR="00143979" w:rsidRPr="008A6DBE">
        <w:rPr>
          <w:rFonts w:ascii="Times New Roman" w:hAnsi="Times New Roman" w:cs="Times New Roman"/>
        </w:rPr>
        <w:t xml:space="preserve">at 511. </w:t>
      </w:r>
      <w:r w:rsidRPr="008A6DBE">
        <w:rPr>
          <w:rFonts w:ascii="Times New Roman" w:hAnsi="Times New Roman" w:cs="Times New Roman"/>
        </w:rPr>
        <w:t xml:space="preserve"> </w:t>
      </w:r>
    </w:p>
    <w:p w14:paraId="1232D1C8" w14:textId="77777777" w:rsidR="009D5E15" w:rsidRPr="008A6DBE" w:rsidRDefault="009D5E15" w:rsidP="001D1B8C">
      <w:pPr>
        <w:shd w:val="clear" w:color="auto" w:fill="FFFFFF"/>
        <w:spacing w:after="0" w:line="276" w:lineRule="auto"/>
        <w:jc w:val="both"/>
        <w:rPr>
          <w:rFonts w:ascii="Times New Roman" w:hAnsi="Times New Roman" w:cs="Times New Roman"/>
        </w:rPr>
      </w:pPr>
    </w:p>
    <w:p w14:paraId="7F1CFD2F" w14:textId="09B4059F" w:rsidR="005C4C7A" w:rsidRPr="008A6DBE" w:rsidRDefault="005C4C7A" w:rsidP="001D1B8C">
      <w:pPr>
        <w:pStyle w:val="ListParagraph"/>
        <w:numPr>
          <w:ilvl w:val="1"/>
          <w:numId w:val="1"/>
        </w:numPr>
        <w:spacing w:line="276" w:lineRule="auto"/>
        <w:rPr>
          <w:rFonts w:ascii="Times New Roman" w:hAnsi="Times New Roman" w:cs="Times New Roman"/>
        </w:rPr>
      </w:pPr>
      <w:r w:rsidRPr="008A6DBE">
        <w:rPr>
          <w:rFonts w:ascii="Times New Roman" w:eastAsia="Times New Roman" w:hAnsi="Times New Roman" w:cs="Times New Roman"/>
          <w:b/>
          <w:bCs/>
          <w:i/>
          <w:iCs/>
        </w:rPr>
        <w:t>Doe by Roe v. Madison Center Hospital</w:t>
      </w:r>
      <w:r w:rsidRPr="008A6DBE">
        <w:rPr>
          <w:rFonts w:ascii="Times New Roman" w:eastAsia="Times New Roman" w:hAnsi="Times New Roman" w:cs="Times New Roman"/>
          <w:b/>
          <w:bCs/>
        </w:rPr>
        <w:t>, 652 N.E.2d 101 (Ind. Ct. App. 1995)</w:t>
      </w:r>
    </w:p>
    <w:p w14:paraId="6121B2B5" w14:textId="4598DF68" w:rsidR="009D5E15" w:rsidRPr="008A6DBE" w:rsidRDefault="009D5E15" w:rsidP="001D1B8C">
      <w:pPr>
        <w:spacing w:after="0" w:line="276" w:lineRule="auto"/>
        <w:ind w:firstLine="360"/>
        <w:jc w:val="both"/>
        <w:rPr>
          <w:rFonts w:ascii="Times New Roman" w:eastAsia="Times New Roman" w:hAnsi="Times New Roman" w:cs="Times New Roman"/>
          <w:color w:val="212121"/>
        </w:rPr>
      </w:pPr>
      <w:r w:rsidRPr="008A6DBE">
        <w:rPr>
          <w:rFonts w:ascii="Times New Roman" w:eastAsia="Times New Roman" w:hAnsi="Times New Roman" w:cs="Times New Roman"/>
          <w:color w:val="212121"/>
        </w:rPr>
        <w:t xml:space="preserve">In </w:t>
      </w:r>
      <w:r w:rsidRPr="008A6DBE">
        <w:rPr>
          <w:rFonts w:ascii="Times New Roman" w:eastAsia="Times New Roman" w:hAnsi="Times New Roman" w:cs="Times New Roman"/>
          <w:i/>
          <w:iCs/>
          <w:color w:val="212121"/>
        </w:rPr>
        <w:t>Doe v. Madison Center Hospital,</w:t>
      </w:r>
      <w:r w:rsidRPr="008A6DBE">
        <w:rPr>
          <w:rFonts w:ascii="Times New Roman" w:eastAsia="Times New Roman" w:hAnsi="Times New Roman" w:cs="Times New Roman"/>
          <w:color w:val="212121"/>
        </w:rPr>
        <w:t xml:space="preserve"> a minor child, who was a patient of a psychiatric center, was sexually assaulted</w:t>
      </w:r>
      <w:r w:rsidR="00E542CC" w:rsidRPr="008A6DBE">
        <w:rPr>
          <w:rFonts w:ascii="Times New Roman" w:eastAsia="Times New Roman" w:hAnsi="Times New Roman" w:cs="Times New Roman"/>
          <w:color w:val="212121"/>
        </w:rPr>
        <w:t xml:space="preserve">, </w:t>
      </w:r>
      <w:r w:rsidRPr="008A6DBE">
        <w:rPr>
          <w:rFonts w:ascii="Times New Roman" w:eastAsia="Times New Roman" w:hAnsi="Times New Roman" w:cs="Times New Roman"/>
          <w:color w:val="212121"/>
        </w:rPr>
        <w:t>molested</w:t>
      </w:r>
      <w:r w:rsidR="00E542CC" w:rsidRPr="008A6DBE">
        <w:rPr>
          <w:rFonts w:ascii="Times New Roman" w:eastAsia="Times New Roman" w:hAnsi="Times New Roman" w:cs="Times New Roman"/>
          <w:color w:val="212121"/>
        </w:rPr>
        <w:t xml:space="preserve">, and coerced into having sexual intercourse </w:t>
      </w:r>
      <w:r w:rsidRPr="008A6DBE">
        <w:rPr>
          <w:rFonts w:ascii="Times New Roman" w:eastAsia="Times New Roman" w:hAnsi="Times New Roman" w:cs="Times New Roman"/>
          <w:color w:val="212121"/>
        </w:rPr>
        <w:t>by a mental health counselor/orderly.</w:t>
      </w:r>
      <w:r w:rsidR="00143979" w:rsidRPr="008A6DBE">
        <w:rPr>
          <w:rFonts w:ascii="Times New Roman" w:eastAsia="Times New Roman" w:hAnsi="Times New Roman" w:cs="Times New Roman"/>
          <w:color w:val="212121"/>
        </w:rPr>
        <w:t xml:space="preserve"> </w:t>
      </w:r>
      <w:r w:rsidR="00143979" w:rsidRPr="008A6DBE">
        <w:rPr>
          <w:rFonts w:ascii="Times New Roman" w:hAnsi="Times New Roman" w:cs="Times New Roman"/>
          <w:i/>
          <w:iCs/>
        </w:rPr>
        <w:t xml:space="preserve"> Doe by Roe v. Madison Center Hospital,</w:t>
      </w:r>
      <w:r w:rsidR="00143979" w:rsidRPr="008A6DBE">
        <w:rPr>
          <w:rFonts w:ascii="Times New Roman" w:hAnsi="Times New Roman" w:cs="Times New Roman"/>
        </w:rPr>
        <w:t xml:space="preserve"> 652 N.E.2d 101, 102 (Ind. Ct. App. 1995).</w:t>
      </w:r>
      <w:r w:rsidR="00E542CC" w:rsidRPr="008A6DBE">
        <w:rPr>
          <w:rFonts w:ascii="Times New Roman" w:eastAsia="Times New Roman" w:hAnsi="Times New Roman" w:cs="Times New Roman"/>
          <w:color w:val="212121"/>
        </w:rPr>
        <w:t xml:space="preserve"> </w:t>
      </w:r>
      <w:r w:rsidRPr="008A6DBE">
        <w:rPr>
          <w:rFonts w:ascii="Times New Roman" w:eastAsia="Times New Roman" w:hAnsi="Times New Roman" w:cs="Times New Roman"/>
          <w:color w:val="212121"/>
        </w:rPr>
        <w:t xml:space="preserve"> The trial court dismissed the child's intentional tort claims for lack of subject matter jurisdiction, and the Indiana Court of Appeals reversed after concluding that the claims did not fall within the purview of the Act.  </w:t>
      </w:r>
      <w:r w:rsidR="00143979" w:rsidRPr="008A6DBE">
        <w:rPr>
          <w:rFonts w:ascii="Times New Roman" w:eastAsia="Times New Roman" w:hAnsi="Times New Roman" w:cs="Times New Roman"/>
          <w:i/>
          <w:iCs/>
          <w:shd w:val="clear" w:color="auto" w:fill="FFFFFF"/>
        </w:rPr>
        <w:t xml:space="preserve">Id. </w:t>
      </w:r>
      <w:r w:rsidR="00143979" w:rsidRPr="008A6DBE">
        <w:rPr>
          <w:rFonts w:ascii="Times New Roman" w:hAnsi="Times New Roman" w:cs="Times New Roman"/>
        </w:rPr>
        <w:t xml:space="preserve">at 103. </w:t>
      </w:r>
      <w:r w:rsidRPr="008A6DBE">
        <w:rPr>
          <w:rFonts w:ascii="Times New Roman" w:eastAsia="Times New Roman" w:hAnsi="Times New Roman" w:cs="Times New Roman"/>
          <w:color w:val="212121"/>
        </w:rPr>
        <w:t xml:space="preserve">Specifically, the </w:t>
      </w:r>
      <w:r w:rsidR="005164D9" w:rsidRPr="008A6DBE">
        <w:rPr>
          <w:rFonts w:ascii="Times New Roman" w:eastAsia="Times New Roman" w:hAnsi="Times New Roman" w:cs="Times New Roman"/>
          <w:color w:val="212121"/>
        </w:rPr>
        <w:t xml:space="preserve">Indiana </w:t>
      </w:r>
      <w:r w:rsidRPr="008A6DBE">
        <w:rPr>
          <w:rFonts w:ascii="Times New Roman" w:eastAsia="Times New Roman" w:hAnsi="Times New Roman" w:cs="Times New Roman"/>
          <w:color w:val="212121"/>
        </w:rPr>
        <w:t>Court of Appeals concluded:</w:t>
      </w:r>
    </w:p>
    <w:p w14:paraId="64D1BD84" w14:textId="77777777" w:rsidR="009D5E15" w:rsidRPr="008A6DBE" w:rsidRDefault="009D5E15" w:rsidP="001D1B8C">
      <w:pPr>
        <w:spacing w:after="0" w:line="276" w:lineRule="auto"/>
        <w:ind w:firstLine="360"/>
        <w:jc w:val="both"/>
        <w:rPr>
          <w:rFonts w:ascii="Times New Roman" w:eastAsia="Times New Roman" w:hAnsi="Times New Roman" w:cs="Times New Roman"/>
        </w:rPr>
      </w:pPr>
    </w:p>
    <w:p w14:paraId="5D606324" w14:textId="14BF6F1A" w:rsidR="009D5E15" w:rsidRPr="008A6DBE" w:rsidRDefault="009D5E15" w:rsidP="008A6DBE">
      <w:pPr>
        <w:pStyle w:val="BlockQuote"/>
        <w:rPr>
          <w:rFonts w:ascii="Times New Roman" w:hAnsi="Times New Roman" w:cs="Times New Roman"/>
        </w:rPr>
      </w:pPr>
      <w:r w:rsidRPr="008A6DBE">
        <w:rPr>
          <w:rFonts w:ascii="Times New Roman" w:hAnsi="Times New Roman" w:cs="Times New Roman"/>
          <w:color w:val="212121"/>
        </w:rPr>
        <w:t>Doe's allegations, that [employee] King coerced Jane Doe, a minor, to engage in sexual intercourse causing her to contract a venereal disease, do not constitute a rendition of health care or professional services. The alleged acts, although occurring during Jane Doe's confinement in the Hospital for psychiatric care and treatment, were not designed to promote her health. Neither do they call into question King's use of skill or expertise as a health care provider.</w:t>
      </w:r>
    </w:p>
    <w:p w14:paraId="55C85563" w14:textId="77D43604" w:rsidR="009D5E15" w:rsidRPr="008A6DBE" w:rsidRDefault="00403587" w:rsidP="001D1B8C">
      <w:pPr>
        <w:spacing w:before="220" w:after="0" w:line="276" w:lineRule="auto"/>
        <w:jc w:val="both"/>
        <w:rPr>
          <w:rFonts w:ascii="Times New Roman" w:eastAsia="Times New Roman" w:hAnsi="Times New Roman" w:cs="Times New Roman"/>
        </w:rPr>
      </w:pPr>
      <w:r w:rsidRPr="008A6DBE">
        <w:rPr>
          <w:rFonts w:ascii="Times New Roman" w:eastAsia="Times New Roman" w:hAnsi="Times New Roman" w:cs="Times New Roman"/>
          <w:i/>
          <w:iCs/>
          <w:shd w:val="clear" w:color="auto" w:fill="FFFFFF"/>
        </w:rPr>
        <w:t xml:space="preserve">Id. </w:t>
      </w:r>
      <w:r w:rsidRPr="008A6DBE">
        <w:rPr>
          <w:rFonts w:ascii="Times New Roman" w:hAnsi="Times New Roman" w:cs="Times New Roman"/>
        </w:rPr>
        <w:t xml:space="preserve">at 104 (internal citation omitted). </w:t>
      </w:r>
      <w:r w:rsidR="009D5E15" w:rsidRPr="008A6DBE">
        <w:rPr>
          <w:rFonts w:ascii="Times New Roman" w:eastAsia="Times New Roman" w:hAnsi="Times New Roman" w:cs="Times New Roman"/>
          <w:color w:val="212121"/>
        </w:rPr>
        <w:t xml:space="preserve">Furthermore, the court observed that the child and the counselor did not have a therapist-patient relationship. </w:t>
      </w:r>
    </w:p>
    <w:p w14:paraId="25D46B36" w14:textId="77777777" w:rsidR="009D5E15" w:rsidRPr="008A6DBE" w:rsidRDefault="009D5E15" w:rsidP="001D1B8C">
      <w:pPr>
        <w:spacing w:line="276" w:lineRule="auto"/>
        <w:rPr>
          <w:rFonts w:ascii="Times New Roman" w:hAnsi="Times New Roman" w:cs="Times New Roman"/>
        </w:rPr>
      </w:pPr>
    </w:p>
    <w:p w14:paraId="4E7AB1F5" w14:textId="548E08A1" w:rsidR="00AA4EA0" w:rsidRPr="008A6DBE" w:rsidRDefault="00AA4EA0" w:rsidP="001D1B8C">
      <w:pPr>
        <w:pStyle w:val="ListParagraph"/>
        <w:numPr>
          <w:ilvl w:val="0"/>
          <w:numId w:val="1"/>
        </w:numPr>
        <w:spacing w:line="276" w:lineRule="auto"/>
        <w:rPr>
          <w:rFonts w:ascii="Times New Roman" w:hAnsi="Times New Roman" w:cs="Times New Roman"/>
          <w:b/>
          <w:bCs/>
        </w:rPr>
      </w:pPr>
      <w:r w:rsidRPr="008A6DBE">
        <w:rPr>
          <w:rFonts w:ascii="Times New Roman" w:hAnsi="Times New Roman" w:cs="Times New Roman"/>
          <w:b/>
          <w:bCs/>
        </w:rPr>
        <w:t>Recent developments in Indiana</w:t>
      </w:r>
    </w:p>
    <w:p w14:paraId="19205E30" w14:textId="77777777" w:rsidR="00AA4EA0" w:rsidRPr="008A6DBE" w:rsidRDefault="00AA4EA0" w:rsidP="001D1B8C">
      <w:pPr>
        <w:pStyle w:val="ListParagraph"/>
        <w:spacing w:line="276" w:lineRule="auto"/>
        <w:ind w:left="810"/>
        <w:rPr>
          <w:rFonts w:ascii="Times New Roman" w:hAnsi="Times New Roman" w:cs="Times New Roman"/>
        </w:rPr>
      </w:pPr>
    </w:p>
    <w:p w14:paraId="7205A75C" w14:textId="0EB66D3B" w:rsidR="009D5E15" w:rsidRPr="008A6DBE" w:rsidRDefault="00AA4EA0" w:rsidP="001D1B8C">
      <w:pPr>
        <w:pStyle w:val="ListParagraph"/>
        <w:numPr>
          <w:ilvl w:val="1"/>
          <w:numId w:val="1"/>
        </w:numPr>
        <w:spacing w:line="276" w:lineRule="auto"/>
        <w:rPr>
          <w:rFonts w:ascii="Times New Roman" w:hAnsi="Times New Roman" w:cs="Times New Roman"/>
        </w:rPr>
      </w:pPr>
      <w:r w:rsidRPr="008A6DBE">
        <w:rPr>
          <w:rFonts w:ascii="Times New Roman" w:eastAsia="Times New Roman" w:hAnsi="Times New Roman" w:cs="Times New Roman"/>
          <w:b/>
          <w:bCs/>
          <w:i/>
          <w:iCs/>
        </w:rPr>
        <w:t>Cox v. E</w:t>
      </w:r>
      <w:r w:rsidR="005C4C7A" w:rsidRPr="008A6DBE">
        <w:rPr>
          <w:rFonts w:ascii="Times New Roman" w:eastAsia="Times New Roman" w:hAnsi="Times New Roman" w:cs="Times New Roman"/>
          <w:b/>
          <w:bCs/>
          <w:i/>
          <w:iCs/>
        </w:rPr>
        <w:t>vansville Police Department,</w:t>
      </w:r>
      <w:r w:rsidR="005C4C7A" w:rsidRPr="008A6DBE">
        <w:rPr>
          <w:rFonts w:ascii="Times New Roman" w:eastAsia="Times New Roman" w:hAnsi="Times New Roman" w:cs="Times New Roman"/>
          <w:b/>
          <w:bCs/>
        </w:rPr>
        <w:t xml:space="preserve"> 107 N.E.3d 453 (Ind. 2018)</w:t>
      </w:r>
    </w:p>
    <w:p w14:paraId="5653D061" w14:textId="58787DDA" w:rsidR="009D5E15" w:rsidRPr="008A6DBE" w:rsidRDefault="009D5E15" w:rsidP="001D1B8C">
      <w:pPr>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 xml:space="preserve">In </w:t>
      </w:r>
      <w:r w:rsidRPr="008A6DBE">
        <w:rPr>
          <w:rFonts w:ascii="Times New Roman" w:eastAsia="Times New Roman" w:hAnsi="Times New Roman" w:cs="Times New Roman"/>
          <w:i/>
          <w:iCs/>
          <w:color w:val="000000"/>
        </w:rPr>
        <w:t>Cox v. Evansville,</w:t>
      </w:r>
      <w:r w:rsidRPr="008A6DBE">
        <w:rPr>
          <w:rFonts w:ascii="Times New Roman" w:eastAsia="Times New Roman" w:hAnsi="Times New Roman" w:cs="Times New Roman"/>
          <w:color w:val="000000"/>
        </w:rPr>
        <w:t xml:space="preserve"> </w:t>
      </w:r>
      <w:r w:rsidR="005164D9" w:rsidRPr="008A6DBE">
        <w:rPr>
          <w:rFonts w:ascii="Times New Roman" w:eastAsia="Times New Roman" w:hAnsi="Times New Roman" w:cs="Times New Roman"/>
          <w:color w:val="000000"/>
        </w:rPr>
        <w:t>the</w:t>
      </w:r>
      <w:r w:rsidRPr="008A6DBE">
        <w:rPr>
          <w:rFonts w:ascii="Times New Roman" w:eastAsia="Times New Roman" w:hAnsi="Times New Roman" w:cs="Times New Roman"/>
          <w:color w:val="000000"/>
        </w:rPr>
        <w:t xml:space="preserve"> Indiana Supreme Court addressed, as a matter of first impression, whether sexual assault by a police officer fell within the scope of </w:t>
      </w:r>
      <w:r w:rsidR="00AA4EA0" w:rsidRPr="008A6DBE">
        <w:rPr>
          <w:rFonts w:ascii="Times New Roman" w:eastAsia="Times New Roman" w:hAnsi="Times New Roman" w:cs="Times New Roman"/>
          <w:color w:val="000000"/>
        </w:rPr>
        <w:t xml:space="preserve">an officer’s </w:t>
      </w:r>
      <w:r w:rsidRPr="008A6DBE">
        <w:rPr>
          <w:rFonts w:ascii="Times New Roman" w:eastAsia="Times New Roman" w:hAnsi="Times New Roman" w:cs="Times New Roman"/>
          <w:color w:val="000000"/>
        </w:rPr>
        <w:t>employment.</w:t>
      </w:r>
      <w:r w:rsidR="008A6DBE" w:rsidRPr="008A6DBE">
        <w:rPr>
          <w:rFonts w:ascii="Times New Roman" w:eastAsia="Times New Roman" w:hAnsi="Times New Roman" w:cs="Times New Roman"/>
          <w:color w:val="000000"/>
        </w:rPr>
        <w:t xml:space="preserve"> </w:t>
      </w:r>
      <w:r w:rsidRPr="008A6DBE">
        <w:rPr>
          <w:rFonts w:ascii="Times New Roman" w:eastAsia="Times New Roman" w:hAnsi="Times New Roman" w:cs="Times New Roman"/>
          <w:color w:val="000000"/>
        </w:rPr>
        <w:t xml:space="preserve"> </w:t>
      </w:r>
      <w:r w:rsidR="00403587" w:rsidRPr="008A6DBE">
        <w:rPr>
          <w:rFonts w:ascii="Times New Roman" w:hAnsi="Times New Roman" w:cs="Times New Roman"/>
          <w:i/>
          <w:iCs/>
        </w:rPr>
        <w:t>Cox v. Evansville Police Department</w:t>
      </w:r>
      <w:r w:rsidR="00403587" w:rsidRPr="008A6DBE">
        <w:rPr>
          <w:rFonts w:ascii="Times New Roman" w:hAnsi="Times New Roman" w:cs="Times New Roman"/>
        </w:rPr>
        <w:t xml:space="preserve">, 107 N.E.3d 453, 459 (Ind. 2018). </w:t>
      </w:r>
      <w:r w:rsidRPr="008A6DBE">
        <w:rPr>
          <w:rFonts w:ascii="Times New Roman" w:eastAsia="Times New Roman" w:hAnsi="Times New Roman" w:cs="Times New Roman"/>
          <w:color w:val="000000"/>
        </w:rPr>
        <w:t xml:space="preserve"> In doing so, the Court redefined </w:t>
      </w:r>
      <w:r w:rsidRPr="008A6DBE">
        <w:rPr>
          <w:rFonts w:ascii="Times New Roman" w:eastAsia="Times New Roman" w:hAnsi="Times New Roman" w:cs="Times New Roman"/>
          <w:i/>
          <w:iCs/>
          <w:color w:val="000000"/>
        </w:rPr>
        <w:t>respondeat superior</w:t>
      </w:r>
      <w:r w:rsidRPr="008A6DBE">
        <w:rPr>
          <w:rFonts w:ascii="Times New Roman" w:eastAsia="Times New Roman" w:hAnsi="Times New Roman" w:cs="Times New Roman"/>
          <w:color w:val="000000"/>
        </w:rPr>
        <w:t xml:space="preserve"> law in Indiana by broadening the range of acts that may fall under </w:t>
      </w:r>
      <w:r w:rsidR="005164D9" w:rsidRPr="008A6DBE">
        <w:rPr>
          <w:rFonts w:ascii="Times New Roman" w:eastAsia="Times New Roman" w:hAnsi="Times New Roman" w:cs="Times New Roman"/>
          <w:color w:val="000000"/>
        </w:rPr>
        <w:t xml:space="preserve">the </w:t>
      </w:r>
      <w:r w:rsidRPr="008A6DBE">
        <w:rPr>
          <w:rFonts w:ascii="Times New Roman" w:eastAsia="Times New Roman" w:hAnsi="Times New Roman" w:cs="Times New Roman"/>
          <w:color w:val="000000"/>
        </w:rPr>
        <w:t xml:space="preserve">scope of employment. </w:t>
      </w:r>
    </w:p>
    <w:p w14:paraId="686DEAC2" w14:textId="77777777" w:rsidR="009D5E15" w:rsidRPr="008A6DBE" w:rsidRDefault="009D5E15" w:rsidP="001D1B8C">
      <w:pPr>
        <w:spacing w:after="0" w:line="276" w:lineRule="auto"/>
        <w:ind w:firstLine="360"/>
        <w:jc w:val="both"/>
        <w:rPr>
          <w:rFonts w:ascii="Times New Roman" w:eastAsia="Times New Roman" w:hAnsi="Times New Roman" w:cs="Times New Roman"/>
          <w:color w:val="000000"/>
        </w:rPr>
      </w:pPr>
    </w:p>
    <w:p w14:paraId="5BD4064B" w14:textId="2180F72E" w:rsidR="009D5E15" w:rsidRPr="008A6DBE" w:rsidRDefault="009D5E15" w:rsidP="001D1B8C">
      <w:pPr>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i/>
          <w:iCs/>
          <w:color w:val="000000"/>
        </w:rPr>
        <w:t xml:space="preserve">Cox </w:t>
      </w:r>
      <w:r w:rsidRPr="008A6DBE">
        <w:rPr>
          <w:rFonts w:ascii="Times New Roman" w:eastAsia="Times New Roman" w:hAnsi="Times New Roman" w:cs="Times New Roman"/>
          <w:color w:val="000000"/>
        </w:rPr>
        <w:t xml:space="preserve">was an appeal of two different cases—one in Evansville, and one in Fort Wayne—where two different on-duty police officers raped a woman after being dispatched to a scene and taking the respective woman into </w:t>
      </w:r>
      <w:r w:rsidR="005164D9" w:rsidRPr="008A6DBE">
        <w:rPr>
          <w:rFonts w:ascii="Times New Roman" w:eastAsia="Times New Roman" w:hAnsi="Times New Roman" w:cs="Times New Roman"/>
          <w:color w:val="000000"/>
        </w:rPr>
        <w:t>his</w:t>
      </w:r>
      <w:r w:rsidRPr="008A6DBE">
        <w:rPr>
          <w:rFonts w:ascii="Times New Roman" w:eastAsia="Times New Roman" w:hAnsi="Times New Roman" w:cs="Times New Roman"/>
          <w:color w:val="000000"/>
        </w:rPr>
        <w:t xml:space="preserve"> custody. </w:t>
      </w:r>
      <w:r w:rsidR="00403587" w:rsidRPr="008A6DBE">
        <w:rPr>
          <w:rFonts w:ascii="Times New Roman" w:eastAsia="Times New Roman" w:hAnsi="Times New Roman" w:cs="Times New Roman"/>
          <w:i/>
          <w:iCs/>
          <w:shd w:val="clear" w:color="auto" w:fill="FFFFFF"/>
        </w:rPr>
        <w:t xml:space="preserve">Id. </w:t>
      </w:r>
      <w:r w:rsidR="00403587" w:rsidRPr="008A6DBE">
        <w:rPr>
          <w:rFonts w:ascii="Times New Roman" w:hAnsi="Times New Roman" w:cs="Times New Roman"/>
        </w:rPr>
        <w:t>at 457.</w:t>
      </w:r>
    </w:p>
    <w:p w14:paraId="700241B6" w14:textId="77777777" w:rsidR="009D5E15" w:rsidRPr="008A6DBE" w:rsidRDefault="009D5E15" w:rsidP="001D1B8C">
      <w:pPr>
        <w:spacing w:after="0" w:line="276" w:lineRule="auto"/>
        <w:ind w:firstLine="720"/>
        <w:jc w:val="both"/>
        <w:rPr>
          <w:rFonts w:ascii="Times New Roman" w:eastAsia="Times New Roman" w:hAnsi="Times New Roman" w:cs="Times New Roman"/>
          <w:color w:val="000000"/>
        </w:rPr>
      </w:pPr>
    </w:p>
    <w:p w14:paraId="219FD47C" w14:textId="67722296" w:rsidR="009D5E15" w:rsidRPr="008A6DBE" w:rsidRDefault="009D5E15" w:rsidP="001D1B8C">
      <w:pPr>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lastRenderedPageBreak/>
        <w:t xml:space="preserve">The officers were convicted criminally.  </w:t>
      </w:r>
      <w:r w:rsidR="00403587" w:rsidRPr="008A6DBE">
        <w:rPr>
          <w:rFonts w:ascii="Times New Roman" w:eastAsia="Times New Roman" w:hAnsi="Times New Roman" w:cs="Times New Roman"/>
          <w:i/>
          <w:iCs/>
          <w:shd w:val="clear" w:color="auto" w:fill="FFFFFF"/>
        </w:rPr>
        <w:t xml:space="preserve">Id. </w:t>
      </w:r>
      <w:r w:rsidR="00403587" w:rsidRPr="008A6DBE">
        <w:rPr>
          <w:rFonts w:ascii="Times New Roman" w:hAnsi="Times New Roman" w:cs="Times New Roman"/>
        </w:rPr>
        <w:t xml:space="preserve">at 457-58.  </w:t>
      </w:r>
      <w:r w:rsidRPr="008A6DBE">
        <w:rPr>
          <w:rFonts w:ascii="Times New Roman" w:eastAsia="Times New Roman" w:hAnsi="Times New Roman" w:cs="Times New Roman"/>
          <w:color w:val="000000"/>
        </w:rPr>
        <w:t xml:space="preserve">Both women then brought civil actions against the respective assaulting officer’s city employer, alleging theories of respondeat superior, the common-carrier exception, and negligent hiring, training, supervision, and retention.  </w:t>
      </w:r>
      <w:r w:rsidR="00403587" w:rsidRPr="008A6DBE">
        <w:rPr>
          <w:rFonts w:ascii="Times New Roman" w:eastAsia="Times New Roman" w:hAnsi="Times New Roman" w:cs="Times New Roman"/>
          <w:i/>
          <w:iCs/>
          <w:shd w:val="clear" w:color="auto" w:fill="FFFFFF"/>
        </w:rPr>
        <w:t xml:space="preserve">Id. </w:t>
      </w:r>
      <w:r w:rsidR="00403587" w:rsidRPr="008A6DBE">
        <w:rPr>
          <w:rFonts w:ascii="Times New Roman" w:hAnsi="Times New Roman" w:cs="Times New Roman"/>
        </w:rPr>
        <w:t xml:space="preserve">at 458.  </w:t>
      </w:r>
      <w:r w:rsidRPr="008A6DBE">
        <w:rPr>
          <w:rFonts w:ascii="Times New Roman" w:eastAsia="Times New Roman" w:hAnsi="Times New Roman" w:cs="Times New Roman"/>
          <w:color w:val="000000"/>
        </w:rPr>
        <w:t xml:space="preserve">After a series of appeals, the Indiana Supreme Court found as a matter of law, the city could not, under </w:t>
      </w:r>
      <w:r w:rsidRPr="008A6DBE">
        <w:rPr>
          <w:rFonts w:ascii="Times New Roman" w:eastAsia="Times New Roman" w:hAnsi="Times New Roman" w:cs="Times New Roman"/>
          <w:i/>
          <w:iCs/>
          <w:color w:val="000000"/>
        </w:rPr>
        <w:t>respondeat superior,</w:t>
      </w:r>
      <w:r w:rsidRPr="008A6DBE">
        <w:rPr>
          <w:rFonts w:ascii="Times New Roman" w:eastAsia="Times New Roman" w:hAnsi="Times New Roman" w:cs="Times New Roman"/>
          <w:color w:val="000000"/>
        </w:rPr>
        <w:t xml:space="preserve"> escape liability for the officers’ sexual assault in those instances.  </w:t>
      </w:r>
      <w:r w:rsidR="00403587" w:rsidRPr="008A6DBE">
        <w:rPr>
          <w:rFonts w:ascii="Times New Roman" w:eastAsia="Times New Roman" w:hAnsi="Times New Roman" w:cs="Times New Roman"/>
          <w:i/>
          <w:iCs/>
          <w:shd w:val="clear" w:color="auto" w:fill="FFFFFF"/>
        </w:rPr>
        <w:t xml:space="preserve">Id. </w:t>
      </w:r>
      <w:r w:rsidR="00403587" w:rsidRPr="008A6DBE">
        <w:rPr>
          <w:rFonts w:ascii="Times New Roman" w:hAnsi="Times New Roman" w:cs="Times New Roman"/>
        </w:rPr>
        <w:t>at 456.</w:t>
      </w:r>
    </w:p>
    <w:p w14:paraId="0BA76C25" w14:textId="77777777" w:rsidR="009D5E15" w:rsidRPr="008A6DBE" w:rsidRDefault="009D5E15" w:rsidP="001D1B8C">
      <w:pPr>
        <w:spacing w:after="0" w:line="276" w:lineRule="auto"/>
        <w:ind w:firstLine="720"/>
        <w:jc w:val="both"/>
        <w:rPr>
          <w:rFonts w:ascii="Times New Roman" w:eastAsia="Times New Roman" w:hAnsi="Times New Roman" w:cs="Times New Roman"/>
          <w:color w:val="000000"/>
        </w:rPr>
      </w:pPr>
    </w:p>
    <w:p w14:paraId="5567F62E" w14:textId="20A5C5F0" w:rsidR="00EF4E9F" w:rsidRPr="008A6DBE" w:rsidRDefault="00EF4E9F" w:rsidP="001D1B8C">
      <w:pPr>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The Court began by noting,“[u]</w:t>
      </w:r>
      <w:proofErr w:type="spellStart"/>
      <w:r w:rsidRPr="008A6DBE">
        <w:rPr>
          <w:rFonts w:ascii="Times New Roman" w:eastAsia="Times New Roman" w:hAnsi="Times New Roman" w:cs="Times New Roman"/>
          <w:color w:val="000000"/>
        </w:rPr>
        <w:t>ltimately</w:t>
      </w:r>
      <w:proofErr w:type="spellEnd"/>
      <w:r w:rsidRPr="008A6DBE">
        <w:rPr>
          <w:rFonts w:ascii="Times New Roman" w:eastAsia="Times New Roman" w:hAnsi="Times New Roman" w:cs="Times New Roman"/>
          <w:color w:val="000000"/>
        </w:rPr>
        <w:t xml:space="preserve">, the scope of employment encompasses the activities that the employer delegates to employees or authorizes employees to do, plus employees’ activities that naturally or predictably arise from those activities.” </w:t>
      </w:r>
      <w:r w:rsidR="00403587" w:rsidRPr="008A6DBE">
        <w:rPr>
          <w:rFonts w:ascii="Times New Roman" w:eastAsia="Times New Roman" w:hAnsi="Times New Roman" w:cs="Times New Roman"/>
          <w:color w:val="000000"/>
        </w:rPr>
        <w:t xml:space="preserve"> </w:t>
      </w:r>
      <w:r w:rsidR="00403587" w:rsidRPr="008A6DBE">
        <w:rPr>
          <w:rFonts w:ascii="Times New Roman" w:eastAsia="Times New Roman" w:hAnsi="Times New Roman" w:cs="Times New Roman"/>
          <w:i/>
          <w:iCs/>
          <w:shd w:val="clear" w:color="auto" w:fill="FFFFFF"/>
        </w:rPr>
        <w:t>Id.</w:t>
      </w:r>
      <w:r w:rsidR="00403587" w:rsidRPr="008A6DBE">
        <w:rPr>
          <w:rFonts w:ascii="Times New Roman" w:hAnsi="Times New Roman" w:cs="Times New Roman"/>
        </w:rPr>
        <w:t xml:space="preserve"> at 461. </w:t>
      </w:r>
      <w:r w:rsidRPr="008A6DBE">
        <w:rPr>
          <w:rFonts w:ascii="Times New Roman" w:eastAsia="Times New Roman" w:hAnsi="Times New Roman" w:cs="Times New Roman"/>
          <w:color w:val="000000"/>
        </w:rPr>
        <w:t xml:space="preserve"> The Court explained:</w:t>
      </w:r>
    </w:p>
    <w:p w14:paraId="00D712C4" w14:textId="77777777" w:rsidR="00EF4E9F" w:rsidRPr="008A6DBE" w:rsidRDefault="00EF4E9F" w:rsidP="001D1B8C">
      <w:pPr>
        <w:spacing w:after="0" w:line="276" w:lineRule="auto"/>
        <w:jc w:val="both"/>
        <w:rPr>
          <w:rFonts w:ascii="Times New Roman" w:eastAsia="Times New Roman" w:hAnsi="Times New Roman" w:cs="Times New Roman"/>
          <w:color w:val="000000"/>
        </w:rPr>
      </w:pPr>
    </w:p>
    <w:p w14:paraId="29D68201" w14:textId="431B7F24" w:rsidR="00EF4E9F" w:rsidRDefault="00EF4E9F" w:rsidP="008A6DBE">
      <w:pPr>
        <w:spacing w:after="0" w:line="240" w:lineRule="auto"/>
        <w:ind w:left="720" w:right="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This means that the scope of employment –which determines whether the employer is liable – may include acts that the employer expressly forbids; that violate the employer’s rules, orders, or instructions; that the employee commits for self-gratification or self-benefit; that breach a sacred professional duty; or that are egregious, malicious, or criminal.</w:t>
      </w:r>
    </w:p>
    <w:p w14:paraId="10E95017" w14:textId="77777777" w:rsidR="008A6DBE" w:rsidRPr="008A6DBE" w:rsidRDefault="008A6DBE" w:rsidP="008A6DBE">
      <w:pPr>
        <w:spacing w:after="0" w:line="276" w:lineRule="auto"/>
        <w:ind w:left="720" w:right="720"/>
        <w:jc w:val="both"/>
        <w:rPr>
          <w:rFonts w:ascii="Times New Roman" w:eastAsia="Times New Roman" w:hAnsi="Times New Roman" w:cs="Times New Roman"/>
          <w:color w:val="000000"/>
        </w:rPr>
      </w:pPr>
    </w:p>
    <w:p w14:paraId="0F9D7218" w14:textId="1558191F" w:rsidR="00403587" w:rsidRPr="008A6DBE" w:rsidRDefault="00403587" w:rsidP="00403587">
      <w:pPr>
        <w:spacing w:after="0" w:line="276" w:lineRule="auto"/>
        <w:jc w:val="both"/>
        <w:rPr>
          <w:rFonts w:ascii="Times New Roman" w:hAnsi="Times New Roman" w:cs="Times New Roman"/>
        </w:rPr>
      </w:pPr>
      <w:r w:rsidRPr="008A6DBE">
        <w:rPr>
          <w:rFonts w:ascii="Times New Roman" w:eastAsia="Times New Roman" w:hAnsi="Times New Roman" w:cs="Times New Roman"/>
          <w:i/>
          <w:iCs/>
          <w:shd w:val="clear" w:color="auto" w:fill="FFFFFF"/>
        </w:rPr>
        <w:t>Id</w:t>
      </w:r>
      <w:r w:rsidRPr="008A6DBE">
        <w:rPr>
          <w:rFonts w:ascii="Times New Roman" w:hAnsi="Times New Roman" w:cs="Times New Roman"/>
        </w:rPr>
        <w:t xml:space="preserve">. </w:t>
      </w:r>
    </w:p>
    <w:p w14:paraId="68445704" w14:textId="77777777" w:rsidR="00403587" w:rsidRPr="008A6DBE" w:rsidRDefault="00403587" w:rsidP="00403587">
      <w:pPr>
        <w:spacing w:after="0" w:line="276" w:lineRule="auto"/>
        <w:jc w:val="both"/>
        <w:rPr>
          <w:rFonts w:ascii="Times New Roman" w:hAnsi="Times New Roman" w:cs="Times New Roman"/>
        </w:rPr>
      </w:pPr>
    </w:p>
    <w:p w14:paraId="30EC8BC7" w14:textId="3A578F33" w:rsidR="009D5E15" w:rsidRPr="008A6DBE" w:rsidRDefault="009A7BBD" w:rsidP="00403587">
      <w:pPr>
        <w:spacing w:after="0" w:line="276" w:lineRule="auto"/>
        <w:ind w:firstLine="720"/>
        <w:jc w:val="both"/>
        <w:rPr>
          <w:rFonts w:ascii="Times New Roman" w:eastAsia="Times New Roman" w:hAnsi="Times New Roman" w:cs="Times New Roman"/>
        </w:rPr>
      </w:pPr>
      <w:r w:rsidRPr="008A6DBE">
        <w:rPr>
          <w:rFonts w:ascii="Times New Roman" w:eastAsia="Times New Roman" w:hAnsi="Times New Roman" w:cs="Times New Roman"/>
          <w:color w:val="000000"/>
        </w:rPr>
        <w:t xml:space="preserve">The Court held that determining whether an act arises within the scope of employment “depends on </w:t>
      </w:r>
      <w:r w:rsidR="009D5E15" w:rsidRPr="008A6DBE">
        <w:rPr>
          <w:rFonts w:ascii="Times New Roman" w:eastAsia="Times New Roman" w:hAnsi="Times New Roman" w:cs="Times New Roman"/>
          <w:color w:val="000000"/>
        </w:rPr>
        <w:t xml:space="preserve">whether acts naturally or predictably arise from the employment context.” </w:t>
      </w:r>
      <w:r w:rsidR="00403587" w:rsidRPr="008A6DBE">
        <w:rPr>
          <w:rFonts w:ascii="Times New Roman" w:eastAsia="Times New Roman" w:hAnsi="Times New Roman" w:cs="Times New Roman"/>
          <w:i/>
          <w:iCs/>
          <w:shd w:val="clear" w:color="auto" w:fill="FFFFFF"/>
        </w:rPr>
        <w:t>Id.</w:t>
      </w:r>
      <w:r w:rsidR="00403587" w:rsidRPr="008A6DBE">
        <w:rPr>
          <w:rFonts w:ascii="Times New Roman" w:hAnsi="Times New Roman" w:cs="Times New Roman"/>
        </w:rPr>
        <w:t xml:space="preserve"> at 462. </w:t>
      </w:r>
      <w:r w:rsidR="009D5E15" w:rsidRPr="008A6DBE">
        <w:rPr>
          <w:rFonts w:ascii="Times New Roman" w:eastAsia="Times New Roman" w:hAnsi="Times New Roman" w:cs="Times New Roman"/>
          <w:color w:val="000000"/>
        </w:rPr>
        <w:t xml:space="preserve">  </w:t>
      </w:r>
      <w:r w:rsidR="009D5E15" w:rsidRPr="008A6DBE">
        <w:rPr>
          <w:rFonts w:ascii="Times New Roman" w:eastAsia="Times New Roman" w:hAnsi="Times New Roman" w:cs="Times New Roman"/>
          <w:color w:val="212121"/>
        </w:rPr>
        <w:t xml:space="preserve">The Court </w:t>
      </w:r>
      <w:r w:rsidRPr="008A6DBE">
        <w:rPr>
          <w:rFonts w:ascii="Times New Roman" w:eastAsia="Times New Roman" w:hAnsi="Times New Roman" w:cs="Times New Roman"/>
          <w:color w:val="212121"/>
        </w:rPr>
        <w:t>then noted</w:t>
      </w:r>
      <w:r w:rsidR="009D5E15" w:rsidRPr="008A6DBE">
        <w:rPr>
          <w:rFonts w:ascii="Times New Roman" w:eastAsia="Times New Roman" w:hAnsi="Times New Roman" w:cs="Times New Roman"/>
          <w:color w:val="212121"/>
        </w:rPr>
        <w:t xml:space="preserve"> that officers are invested with “considerable and intimidating powers” that come with “an inherent risk of abuse.” </w:t>
      </w:r>
      <w:r w:rsidR="00403587" w:rsidRPr="008A6DBE">
        <w:rPr>
          <w:rFonts w:ascii="Times New Roman" w:eastAsia="Times New Roman" w:hAnsi="Times New Roman" w:cs="Times New Roman"/>
          <w:i/>
          <w:iCs/>
          <w:shd w:val="clear" w:color="auto" w:fill="FFFFFF"/>
        </w:rPr>
        <w:t>Id.</w:t>
      </w:r>
      <w:r w:rsidR="00403587" w:rsidRPr="008A6DBE">
        <w:rPr>
          <w:rFonts w:ascii="Times New Roman" w:hAnsi="Times New Roman" w:cs="Times New Roman"/>
        </w:rPr>
        <w:t xml:space="preserve"> at 463. </w:t>
      </w:r>
      <w:r w:rsidR="009D5E15" w:rsidRPr="008A6DBE">
        <w:rPr>
          <w:rFonts w:ascii="Times New Roman" w:eastAsia="Times New Roman" w:hAnsi="Times New Roman" w:cs="Times New Roman"/>
          <w:color w:val="212121"/>
        </w:rPr>
        <w:t xml:space="preserve"> The Court further reasoned, “when that abuse is a tortious act arising naturally or predictably from the police officer’s employment activities, it falls within the scope of employment for which the city is liable.”</w:t>
      </w:r>
      <w:r w:rsidR="008A6DBE" w:rsidRPr="008A6DBE">
        <w:rPr>
          <w:rFonts w:ascii="Times New Roman" w:eastAsia="Times New Roman" w:hAnsi="Times New Roman" w:cs="Times New Roman"/>
          <w:color w:val="212121"/>
        </w:rPr>
        <w:t xml:space="preserve"> </w:t>
      </w:r>
      <w:r w:rsidR="009D5E15" w:rsidRPr="008A6DBE">
        <w:rPr>
          <w:rFonts w:ascii="Times New Roman" w:eastAsia="Times New Roman" w:hAnsi="Times New Roman" w:cs="Times New Roman"/>
          <w:color w:val="212121"/>
        </w:rPr>
        <w:t xml:space="preserve"> </w:t>
      </w:r>
      <w:r w:rsidR="00403587" w:rsidRPr="008A6DBE">
        <w:rPr>
          <w:rFonts w:ascii="Times New Roman" w:eastAsia="Times New Roman" w:hAnsi="Times New Roman" w:cs="Times New Roman"/>
          <w:i/>
          <w:iCs/>
          <w:shd w:val="clear" w:color="auto" w:fill="FFFFFF"/>
        </w:rPr>
        <w:t>Id.</w:t>
      </w:r>
      <w:r w:rsidR="00403587" w:rsidRPr="008A6DBE">
        <w:rPr>
          <w:rFonts w:ascii="Times New Roman" w:eastAsia="Times New Roman" w:hAnsi="Times New Roman" w:cs="Times New Roman"/>
          <w:color w:val="212121"/>
        </w:rPr>
        <w:t xml:space="preserve"> </w:t>
      </w:r>
      <w:r w:rsidR="009D5E15" w:rsidRPr="008A6DBE">
        <w:rPr>
          <w:rFonts w:ascii="Times New Roman" w:eastAsia="Times New Roman" w:hAnsi="Times New Roman" w:cs="Times New Roman"/>
          <w:color w:val="212121"/>
        </w:rPr>
        <w:t xml:space="preserve"> Thus, the Court concluded, “if an on-duty police officer commits a sexual assault by misusing official authority, the sexual assault is within the scope of employment if the employment context naturally or predictably gave rise to that abuse of official authority.” </w:t>
      </w:r>
      <w:r w:rsidR="00403587" w:rsidRPr="008A6DBE">
        <w:rPr>
          <w:rFonts w:ascii="Times New Roman" w:eastAsia="Times New Roman" w:hAnsi="Times New Roman" w:cs="Times New Roman"/>
          <w:i/>
          <w:iCs/>
          <w:shd w:val="clear" w:color="auto" w:fill="FFFFFF"/>
        </w:rPr>
        <w:t>Id</w:t>
      </w:r>
      <w:r w:rsidR="009D5E15" w:rsidRPr="008A6DBE">
        <w:rPr>
          <w:rFonts w:ascii="Times New Roman" w:eastAsia="Times New Roman" w:hAnsi="Times New Roman" w:cs="Times New Roman"/>
          <w:color w:val="212121"/>
        </w:rPr>
        <w:t xml:space="preserve"> </w:t>
      </w:r>
      <w:r w:rsidR="009D5E15" w:rsidRPr="008A6DBE">
        <w:rPr>
          <w:rFonts w:ascii="Times New Roman" w:eastAsia="Times New Roman" w:hAnsi="Times New Roman" w:cs="Times New Roman"/>
          <w:i/>
          <w:iCs/>
          <w:color w:val="212121"/>
        </w:rPr>
        <w:t xml:space="preserve"> </w:t>
      </w:r>
    </w:p>
    <w:p w14:paraId="7DBB1DF1" w14:textId="77777777" w:rsidR="009D5E15" w:rsidRPr="008A6DBE" w:rsidRDefault="009D5E15" w:rsidP="001D1B8C">
      <w:pPr>
        <w:spacing w:after="0" w:line="276" w:lineRule="auto"/>
        <w:jc w:val="both"/>
        <w:rPr>
          <w:rFonts w:ascii="Times New Roman" w:eastAsia="Times New Roman" w:hAnsi="Times New Roman" w:cs="Times New Roman"/>
          <w:i/>
          <w:iCs/>
          <w:color w:val="212121"/>
        </w:rPr>
      </w:pPr>
    </w:p>
    <w:p w14:paraId="0E789FCA" w14:textId="77777777" w:rsidR="009D5E15" w:rsidRPr="008A6DBE" w:rsidRDefault="009D5E15" w:rsidP="001D1B8C">
      <w:pPr>
        <w:spacing w:after="0" w:line="276" w:lineRule="auto"/>
        <w:ind w:firstLine="720"/>
        <w:jc w:val="both"/>
        <w:rPr>
          <w:rFonts w:ascii="Times New Roman" w:eastAsia="Times New Roman" w:hAnsi="Times New Roman" w:cs="Times New Roman"/>
          <w:color w:val="212121"/>
        </w:rPr>
      </w:pPr>
      <w:r w:rsidRPr="008A6DBE">
        <w:rPr>
          <w:rFonts w:ascii="Times New Roman" w:eastAsia="Times New Roman" w:hAnsi="Times New Roman" w:cs="Times New Roman"/>
          <w:color w:val="212121"/>
        </w:rPr>
        <w:t xml:space="preserve">The Court further explained: </w:t>
      </w:r>
    </w:p>
    <w:p w14:paraId="4496B7F6" w14:textId="77777777" w:rsidR="009D5E15" w:rsidRPr="008A6DBE" w:rsidRDefault="009D5E15" w:rsidP="001D1B8C">
      <w:pPr>
        <w:spacing w:after="0" w:line="276" w:lineRule="auto"/>
        <w:jc w:val="both"/>
        <w:rPr>
          <w:rFonts w:ascii="Times New Roman" w:eastAsia="Times New Roman" w:hAnsi="Times New Roman" w:cs="Times New Roman"/>
          <w:color w:val="212121"/>
        </w:rPr>
      </w:pPr>
    </w:p>
    <w:p w14:paraId="651C3F51" w14:textId="4C1D7C28" w:rsidR="009D5E15" w:rsidRPr="008A6DBE" w:rsidRDefault="009D5E15" w:rsidP="008A6DBE">
      <w:pPr>
        <w:pStyle w:val="BlockQuote"/>
        <w:rPr>
          <w:rFonts w:ascii="Times New Roman" w:hAnsi="Times New Roman" w:cs="Times New Roman"/>
        </w:rPr>
      </w:pPr>
      <w:r w:rsidRPr="008A6DBE">
        <w:rPr>
          <w:rFonts w:ascii="Times New Roman" w:hAnsi="Times New Roman" w:cs="Times New Roman"/>
        </w:rPr>
        <w:t>The reasons underlying scope-of-employment liability support this conclusion. First, the city benefits from the lawful exercise of police power, so when tortious abuse of that power naturally or predictably flows from employment activities, the city equitably bears the cost of the victim's loss</w:t>
      </w:r>
      <w:r w:rsidR="009A7BBD" w:rsidRPr="008A6DBE">
        <w:rPr>
          <w:rFonts w:ascii="Times New Roman" w:hAnsi="Times New Roman" w:cs="Times New Roman"/>
        </w:rPr>
        <w:t xml:space="preserve">. </w:t>
      </w:r>
      <w:r w:rsidRPr="008A6DBE">
        <w:rPr>
          <w:rFonts w:ascii="Times New Roman" w:hAnsi="Times New Roman" w:cs="Times New Roman"/>
        </w:rPr>
        <w:t xml:space="preserve"> And second, holding the city liable encourages it to guard against recurrent assaults. Particularly because cities vest considerable power and authority in police officers, we want cities to exercise vigilance in hiring and supervising officers. </w:t>
      </w:r>
    </w:p>
    <w:p w14:paraId="595504EF" w14:textId="77777777" w:rsidR="00403587" w:rsidRPr="008A6DBE" w:rsidRDefault="00403587" w:rsidP="00403587">
      <w:pPr>
        <w:pStyle w:val="BlockQuote"/>
        <w:spacing w:line="276" w:lineRule="auto"/>
        <w:ind w:left="0"/>
        <w:rPr>
          <w:rFonts w:ascii="Times New Roman" w:hAnsi="Times New Roman" w:cs="Times New Roman"/>
          <w:i/>
          <w:iCs/>
          <w:shd w:val="clear" w:color="auto" w:fill="FFFFFF"/>
        </w:rPr>
      </w:pPr>
    </w:p>
    <w:p w14:paraId="4CECA259" w14:textId="250F5C4F" w:rsidR="00E044DC" w:rsidRPr="008A6DBE" w:rsidRDefault="00403587" w:rsidP="00403587">
      <w:pPr>
        <w:pStyle w:val="BlockQuote"/>
        <w:spacing w:line="276" w:lineRule="auto"/>
        <w:ind w:left="0"/>
        <w:rPr>
          <w:rFonts w:ascii="Times New Roman" w:hAnsi="Times New Roman" w:cs="Times New Roman"/>
        </w:rPr>
      </w:pPr>
      <w:r w:rsidRPr="008A6DBE">
        <w:rPr>
          <w:rFonts w:ascii="Times New Roman" w:hAnsi="Times New Roman" w:cs="Times New Roman"/>
          <w:i/>
          <w:iCs/>
          <w:shd w:val="clear" w:color="auto" w:fill="FFFFFF"/>
        </w:rPr>
        <w:t>Id.</w:t>
      </w:r>
    </w:p>
    <w:p w14:paraId="75CD721E" w14:textId="4A780CB8" w:rsidR="009D5E15" w:rsidRPr="008A6DBE" w:rsidRDefault="005C4C7A" w:rsidP="001D1B8C">
      <w:pPr>
        <w:pStyle w:val="ListParagraph"/>
        <w:numPr>
          <w:ilvl w:val="1"/>
          <w:numId w:val="1"/>
        </w:numPr>
        <w:spacing w:line="276" w:lineRule="auto"/>
        <w:rPr>
          <w:rFonts w:ascii="Times New Roman" w:hAnsi="Times New Roman" w:cs="Times New Roman"/>
        </w:rPr>
      </w:pPr>
      <w:r w:rsidRPr="008A6DBE">
        <w:rPr>
          <w:rFonts w:ascii="Times New Roman" w:eastAsia="Times New Roman" w:hAnsi="Times New Roman" w:cs="Times New Roman"/>
          <w:b/>
          <w:bCs/>
          <w:i/>
          <w:iCs/>
        </w:rPr>
        <w:t>Martinez v. Oaklawn Psychiatric C</w:t>
      </w:r>
      <w:r w:rsidR="00A27D25" w:rsidRPr="008A6DBE">
        <w:rPr>
          <w:rFonts w:ascii="Times New Roman" w:eastAsia="Times New Roman" w:hAnsi="Times New Roman" w:cs="Times New Roman"/>
          <w:b/>
          <w:bCs/>
          <w:i/>
          <w:iCs/>
        </w:rPr>
        <w:t xml:space="preserve">enter </w:t>
      </w:r>
    </w:p>
    <w:p w14:paraId="5F8FF53D" w14:textId="486285EF" w:rsidR="008F41B4" w:rsidRPr="008A6DBE" w:rsidRDefault="008F41B4" w:rsidP="001D1B8C">
      <w:pPr>
        <w:pStyle w:val="NormalWeb"/>
        <w:spacing w:before="0" w:beforeAutospacing="0" w:after="0" w:afterAutospacing="0" w:line="276" w:lineRule="auto"/>
        <w:ind w:firstLine="720"/>
        <w:jc w:val="both"/>
        <w:rPr>
          <w:color w:val="000000"/>
          <w:sz w:val="22"/>
          <w:szCs w:val="22"/>
        </w:rPr>
      </w:pPr>
      <w:r w:rsidRPr="008A6DBE">
        <w:rPr>
          <w:color w:val="000000"/>
          <w:sz w:val="22"/>
          <w:szCs w:val="22"/>
        </w:rPr>
        <w:t xml:space="preserve">This year, in </w:t>
      </w:r>
      <w:r w:rsidRPr="008A6DBE">
        <w:rPr>
          <w:i/>
          <w:iCs/>
          <w:color w:val="000000"/>
          <w:sz w:val="22"/>
          <w:szCs w:val="22"/>
        </w:rPr>
        <w:t>Martinez v. Oaklawn Psychiatric Center,</w:t>
      </w:r>
      <w:r w:rsidRPr="008A6DBE">
        <w:rPr>
          <w:color w:val="000000"/>
          <w:sz w:val="22"/>
          <w:szCs w:val="22"/>
        </w:rPr>
        <w:t xml:space="preserve"> </w:t>
      </w:r>
      <w:r w:rsidR="005164D9" w:rsidRPr="008A6DBE">
        <w:rPr>
          <w:color w:val="000000"/>
          <w:sz w:val="22"/>
          <w:szCs w:val="22"/>
        </w:rPr>
        <w:t>the</w:t>
      </w:r>
      <w:r w:rsidRPr="008A6DBE">
        <w:rPr>
          <w:color w:val="000000"/>
          <w:sz w:val="22"/>
          <w:szCs w:val="22"/>
        </w:rPr>
        <w:t xml:space="preserve"> Indiana Court of Appeals applied the “broadened scope of employment” set forth by </w:t>
      </w:r>
      <w:r w:rsidRPr="008A6DBE">
        <w:rPr>
          <w:i/>
          <w:iCs/>
          <w:color w:val="000000"/>
          <w:sz w:val="22"/>
          <w:szCs w:val="22"/>
        </w:rPr>
        <w:t xml:space="preserve">Cox </w:t>
      </w:r>
      <w:r w:rsidRPr="008A6DBE">
        <w:rPr>
          <w:color w:val="000000"/>
          <w:sz w:val="22"/>
          <w:szCs w:val="22"/>
        </w:rPr>
        <w:t>in establishing a new test for determining whether misconduct by a healthcare provider is subject to the Medical Malpractice Act, or whether the misconduct is a pure question of premises liability/standard negligence law.</w:t>
      </w:r>
      <w:r w:rsidR="008A6DBE" w:rsidRPr="008A6DBE">
        <w:rPr>
          <w:color w:val="000000"/>
          <w:sz w:val="22"/>
          <w:szCs w:val="22"/>
        </w:rPr>
        <w:t xml:space="preserve"> </w:t>
      </w:r>
      <w:r w:rsidRPr="008A6DBE">
        <w:rPr>
          <w:color w:val="000000"/>
          <w:sz w:val="22"/>
          <w:szCs w:val="22"/>
        </w:rPr>
        <w:t> </w:t>
      </w:r>
      <w:r w:rsidR="00403587" w:rsidRPr="008A6DBE">
        <w:rPr>
          <w:i/>
          <w:iCs/>
          <w:sz w:val="22"/>
          <w:szCs w:val="22"/>
        </w:rPr>
        <w:t>Martinez v. Oaklawn Psychiatric Ctr., Inc.,</w:t>
      </w:r>
      <w:r w:rsidR="00403587" w:rsidRPr="008A6DBE">
        <w:rPr>
          <w:sz w:val="22"/>
          <w:szCs w:val="22"/>
        </w:rPr>
        <w:t xml:space="preserve"> 128 N.E.3d 549, 553 (Ind. Ct. App. 2019), c</w:t>
      </w:r>
      <w:r w:rsidR="00403587" w:rsidRPr="008A6DBE">
        <w:rPr>
          <w:i/>
          <w:iCs/>
          <w:sz w:val="22"/>
          <w:szCs w:val="22"/>
        </w:rPr>
        <w:t xml:space="preserve">larified on reh'g, </w:t>
      </w:r>
      <w:r w:rsidR="00403587" w:rsidRPr="008A6DBE">
        <w:rPr>
          <w:sz w:val="22"/>
          <w:szCs w:val="22"/>
        </w:rPr>
        <w:t>No. 18A-CT-2883, 2019 WL 4312956 (Ind. Ct. App. Sept. 12, 2019).</w:t>
      </w:r>
    </w:p>
    <w:p w14:paraId="30C01A33" w14:textId="77777777" w:rsidR="008F41B4" w:rsidRPr="008A6DBE" w:rsidRDefault="008F41B4" w:rsidP="001D1B8C">
      <w:pPr>
        <w:pStyle w:val="NormalWeb"/>
        <w:spacing w:before="0" w:beforeAutospacing="0" w:after="0" w:afterAutospacing="0" w:line="276" w:lineRule="auto"/>
        <w:ind w:left="810"/>
        <w:jc w:val="both"/>
        <w:rPr>
          <w:sz w:val="22"/>
          <w:szCs w:val="22"/>
        </w:rPr>
      </w:pPr>
    </w:p>
    <w:p w14:paraId="54B9E5BA" w14:textId="2402FFBA" w:rsidR="008F41B4" w:rsidRPr="008A6DBE" w:rsidRDefault="008F41B4" w:rsidP="002407EE">
      <w:pPr>
        <w:spacing w:after="240" w:line="276" w:lineRule="auto"/>
        <w:ind w:firstLine="720"/>
        <w:jc w:val="both"/>
        <w:rPr>
          <w:rFonts w:ascii="Times New Roman" w:hAnsi="Times New Roman" w:cs="Times New Roman"/>
        </w:rPr>
      </w:pPr>
      <w:r w:rsidRPr="008A6DBE">
        <w:rPr>
          <w:rFonts w:ascii="Times New Roman" w:hAnsi="Times New Roman" w:cs="Times New Roman"/>
          <w:color w:val="000000"/>
        </w:rPr>
        <w:lastRenderedPageBreak/>
        <w:t xml:space="preserve">In </w:t>
      </w:r>
      <w:r w:rsidRPr="008A6DBE">
        <w:rPr>
          <w:rFonts w:ascii="Times New Roman" w:hAnsi="Times New Roman" w:cs="Times New Roman"/>
          <w:i/>
          <w:iCs/>
          <w:color w:val="000000"/>
        </w:rPr>
        <w:t>Martinez,</w:t>
      </w:r>
      <w:r w:rsidRPr="008A6DBE">
        <w:rPr>
          <w:rFonts w:ascii="Times New Roman" w:hAnsi="Times New Roman" w:cs="Times New Roman"/>
          <w:color w:val="000000"/>
        </w:rPr>
        <w:t xml:space="preserve"> Roy Martinez suffered from mental illness, and was admitted to</w:t>
      </w:r>
      <w:r w:rsidR="005164D9" w:rsidRPr="008A6DBE">
        <w:rPr>
          <w:rFonts w:ascii="Times New Roman" w:hAnsi="Times New Roman" w:cs="Times New Roman"/>
          <w:color w:val="000000"/>
        </w:rPr>
        <w:t xml:space="preserve"> Oaklawn,</w:t>
      </w:r>
      <w:r w:rsidRPr="008A6DBE">
        <w:rPr>
          <w:rFonts w:ascii="Times New Roman" w:hAnsi="Times New Roman" w:cs="Times New Roman"/>
          <w:color w:val="000000"/>
        </w:rPr>
        <w:t xml:space="preserve"> a group home that offered supervised living for patients that do not require inpatient services.</w:t>
      </w:r>
      <w:r w:rsidR="008A6DBE" w:rsidRPr="008A6DBE">
        <w:rPr>
          <w:rFonts w:ascii="Times New Roman" w:hAnsi="Times New Roman" w:cs="Times New Roman"/>
          <w:color w:val="000000"/>
        </w:rPr>
        <w:t xml:space="preserve"> </w:t>
      </w:r>
      <w:r w:rsidRPr="008A6DBE">
        <w:rPr>
          <w:rFonts w:ascii="Times New Roman" w:hAnsi="Times New Roman" w:cs="Times New Roman"/>
          <w:color w:val="000000"/>
        </w:rPr>
        <w:t> </w:t>
      </w:r>
      <w:r w:rsidR="00403587" w:rsidRPr="008A6DBE">
        <w:rPr>
          <w:rFonts w:ascii="Times New Roman" w:eastAsia="Times New Roman" w:hAnsi="Times New Roman" w:cs="Times New Roman"/>
          <w:i/>
          <w:iCs/>
          <w:shd w:val="clear" w:color="auto" w:fill="FFFFFF"/>
        </w:rPr>
        <w:t>Id</w:t>
      </w:r>
      <w:r w:rsidR="00403587" w:rsidRPr="008A6DBE">
        <w:rPr>
          <w:rFonts w:ascii="Times New Roman" w:hAnsi="Times New Roman" w:cs="Times New Roman"/>
        </w:rPr>
        <w:t>. at 552.</w:t>
      </w:r>
      <w:r w:rsidRPr="008A6DBE">
        <w:rPr>
          <w:rFonts w:ascii="Times New Roman" w:hAnsi="Times New Roman" w:cs="Times New Roman"/>
          <w:color w:val="000000"/>
        </w:rPr>
        <w:t xml:space="preserve"> One night, Kafatia, an Oaklawn employee who worked as a residential assistant, became involved in a</w:t>
      </w:r>
      <w:r w:rsidR="00AB0DBE">
        <w:rPr>
          <w:rFonts w:ascii="Times New Roman" w:hAnsi="Times New Roman" w:cs="Times New Roman"/>
          <w:color w:val="000000"/>
        </w:rPr>
        <w:t xml:space="preserve"> physical </w:t>
      </w:r>
      <w:r w:rsidRPr="008A6DBE">
        <w:rPr>
          <w:rFonts w:ascii="Times New Roman" w:hAnsi="Times New Roman" w:cs="Times New Roman"/>
          <w:color w:val="000000"/>
        </w:rPr>
        <w:t xml:space="preserve">altercation with Martinez after Martinez refused to get ready for bed after curfew. </w:t>
      </w:r>
      <w:r w:rsidR="00403587" w:rsidRPr="008A6DBE">
        <w:rPr>
          <w:rFonts w:ascii="Times New Roman" w:eastAsia="Times New Roman" w:hAnsi="Times New Roman" w:cs="Times New Roman"/>
          <w:i/>
          <w:iCs/>
          <w:shd w:val="clear" w:color="auto" w:fill="FFFFFF"/>
        </w:rPr>
        <w:t>Id</w:t>
      </w:r>
      <w:r w:rsidR="00403587" w:rsidRPr="008A6DBE">
        <w:rPr>
          <w:rFonts w:ascii="Times New Roman" w:hAnsi="Times New Roman" w:cs="Times New Roman"/>
        </w:rPr>
        <w:t>. at 553.</w:t>
      </w:r>
      <w:r w:rsidRPr="008A6DBE">
        <w:rPr>
          <w:rFonts w:ascii="Times New Roman" w:hAnsi="Times New Roman" w:cs="Times New Roman"/>
          <w:color w:val="000000"/>
        </w:rPr>
        <w:t xml:space="preserve"> Martinez suffered a large laceration on his leg as a result of the altercation.</w:t>
      </w:r>
      <w:r w:rsidR="00403587" w:rsidRPr="008A6DBE">
        <w:rPr>
          <w:rFonts w:ascii="Times New Roman" w:eastAsia="Times New Roman" w:hAnsi="Times New Roman" w:cs="Times New Roman"/>
          <w:i/>
          <w:iCs/>
          <w:shd w:val="clear" w:color="auto" w:fill="FFFFFF"/>
        </w:rPr>
        <w:t xml:space="preserve"> Id</w:t>
      </w:r>
      <w:r w:rsidR="00403587" w:rsidRPr="008A6DBE">
        <w:rPr>
          <w:rFonts w:ascii="Times New Roman" w:hAnsi="Times New Roman" w:cs="Times New Roman"/>
        </w:rPr>
        <w:t>.</w:t>
      </w:r>
    </w:p>
    <w:p w14:paraId="7AAEEA2E" w14:textId="1909A635" w:rsidR="008F41B4" w:rsidRPr="008A6DBE" w:rsidRDefault="008F41B4" w:rsidP="002407EE">
      <w:pPr>
        <w:pStyle w:val="NormalWeb"/>
        <w:spacing w:before="0" w:beforeAutospacing="0" w:after="0" w:afterAutospacing="0" w:line="276" w:lineRule="auto"/>
        <w:ind w:firstLine="720"/>
        <w:jc w:val="both"/>
        <w:rPr>
          <w:sz w:val="22"/>
          <w:szCs w:val="22"/>
        </w:rPr>
      </w:pPr>
      <w:r w:rsidRPr="008A6DBE">
        <w:rPr>
          <w:color w:val="000000"/>
          <w:sz w:val="22"/>
          <w:szCs w:val="22"/>
        </w:rPr>
        <w:t>As part of his training as a residential assistant, Kafatia had been trained annually in non-violent, verbal de-escalation strategies.</w:t>
      </w:r>
      <w:r w:rsidR="008A6DBE" w:rsidRPr="008A6DBE">
        <w:rPr>
          <w:color w:val="000000"/>
          <w:sz w:val="22"/>
          <w:szCs w:val="22"/>
        </w:rPr>
        <w:t xml:space="preserve"> </w:t>
      </w:r>
      <w:r w:rsidRPr="008A6DBE">
        <w:rPr>
          <w:color w:val="000000"/>
          <w:sz w:val="22"/>
          <w:szCs w:val="22"/>
        </w:rPr>
        <w:t xml:space="preserve"> </w:t>
      </w:r>
      <w:r w:rsidR="00403587" w:rsidRPr="008A6DBE">
        <w:rPr>
          <w:i/>
          <w:iCs/>
          <w:sz w:val="22"/>
          <w:szCs w:val="22"/>
          <w:shd w:val="clear" w:color="auto" w:fill="FFFFFF"/>
        </w:rPr>
        <w:t>Id</w:t>
      </w:r>
      <w:r w:rsidR="00403587" w:rsidRPr="008A6DBE">
        <w:rPr>
          <w:sz w:val="22"/>
          <w:szCs w:val="22"/>
        </w:rPr>
        <w:t xml:space="preserve">. </w:t>
      </w:r>
      <w:r w:rsidRPr="008A6DBE">
        <w:rPr>
          <w:color w:val="000000"/>
          <w:sz w:val="22"/>
          <w:szCs w:val="22"/>
        </w:rPr>
        <w:t xml:space="preserve"> After the altercation, Martinez walked to the kitchen and called 911.</w:t>
      </w:r>
      <w:r w:rsidR="008A6DBE" w:rsidRPr="008A6DBE">
        <w:rPr>
          <w:color w:val="000000"/>
          <w:sz w:val="22"/>
          <w:szCs w:val="22"/>
        </w:rPr>
        <w:t xml:space="preserve"> </w:t>
      </w:r>
      <w:r w:rsidR="00403587" w:rsidRPr="008A6DBE">
        <w:rPr>
          <w:i/>
          <w:iCs/>
          <w:sz w:val="22"/>
          <w:szCs w:val="22"/>
          <w:shd w:val="clear" w:color="auto" w:fill="FFFFFF"/>
        </w:rPr>
        <w:t xml:space="preserve"> Id</w:t>
      </w:r>
      <w:r w:rsidR="00403587" w:rsidRPr="008A6DBE">
        <w:rPr>
          <w:sz w:val="22"/>
          <w:szCs w:val="22"/>
        </w:rPr>
        <w:t xml:space="preserve">. </w:t>
      </w:r>
      <w:r w:rsidRPr="008A6DBE">
        <w:rPr>
          <w:color w:val="000000"/>
          <w:sz w:val="22"/>
          <w:szCs w:val="22"/>
        </w:rPr>
        <w:t xml:space="preserve">  Kafatia did not follow Martinez into the kitchen.  </w:t>
      </w:r>
      <w:r w:rsidR="00403587" w:rsidRPr="008A6DBE">
        <w:rPr>
          <w:i/>
          <w:iCs/>
          <w:sz w:val="22"/>
          <w:szCs w:val="22"/>
          <w:shd w:val="clear" w:color="auto" w:fill="FFFFFF"/>
        </w:rPr>
        <w:t>Id</w:t>
      </w:r>
      <w:r w:rsidR="00403587" w:rsidRPr="008A6DBE">
        <w:rPr>
          <w:sz w:val="22"/>
          <w:szCs w:val="22"/>
        </w:rPr>
        <w:t xml:space="preserve">. </w:t>
      </w:r>
      <w:r w:rsidRPr="008A6DBE">
        <w:rPr>
          <w:color w:val="000000"/>
          <w:sz w:val="22"/>
          <w:szCs w:val="22"/>
        </w:rPr>
        <w:t xml:space="preserve">Instead, he remained in the living room and waited for the police, which was consistent with Oaklawn’s protocol for handling altercations with psychiatric patients.  </w:t>
      </w:r>
      <w:r w:rsidR="00403587" w:rsidRPr="008A6DBE">
        <w:rPr>
          <w:i/>
          <w:iCs/>
          <w:sz w:val="22"/>
          <w:szCs w:val="22"/>
          <w:shd w:val="clear" w:color="auto" w:fill="FFFFFF"/>
        </w:rPr>
        <w:t>Id</w:t>
      </w:r>
      <w:r w:rsidR="00403587" w:rsidRPr="008A6DBE">
        <w:rPr>
          <w:sz w:val="22"/>
          <w:szCs w:val="22"/>
        </w:rPr>
        <w:t xml:space="preserve">. </w:t>
      </w:r>
      <w:r w:rsidRPr="008A6DBE">
        <w:rPr>
          <w:color w:val="000000"/>
          <w:sz w:val="22"/>
          <w:szCs w:val="22"/>
        </w:rPr>
        <w:t>Responding officers found Martinez in the kitchen surrounded by a pool of blood, and he died shortly thereafter.</w:t>
      </w:r>
      <w:r w:rsidR="00403587" w:rsidRPr="008A6DBE">
        <w:rPr>
          <w:i/>
          <w:iCs/>
          <w:sz w:val="22"/>
          <w:szCs w:val="22"/>
          <w:shd w:val="clear" w:color="auto" w:fill="FFFFFF"/>
        </w:rPr>
        <w:t xml:space="preserve"> Id</w:t>
      </w:r>
      <w:r w:rsidR="00403587" w:rsidRPr="008A6DBE">
        <w:rPr>
          <w:sz w:val="22"/>
          <w:szCs w:val="22"/>
        </w:rPr>
        <w:t>.</w:t>
      </w:r>
    </w:p>
    <w:p w14:paraId="235AF035" w14:textId="77777777" w:rsidR="008F41B4" w:rsidRPr="008A6DBE" w:rsidRDefault="008F41B4" w:rsidP="001D1B8C">
      <w:pPr>
        <w:pStyle w:val="NormalWeb"/>
        <w:spacing w:before="0" w:beforeAutospacing="0" w:after="0" w:afterAutospacing="0" w:line="276" w:lineRule="auto"/>
        <w:ind w:left="810"/>
        <w:jc w:val="both"/>
        <w:rPr>
          <w:color w:val="000000"/>
          <w:sz w:val="22"/>
          <w:szCs w:val="22"/>
        </w:rPr>
      </w:pPr>
    </w:p>
    <w:p w14:paraId="0887FD9B" w14:textId="221E5129" w:rsidR="008F41B4" w:rsidRPr="008A6DBE" w:rsidRDefault="008F41B4" w:rsidP="002407EE">
      <w:pPr>
        <w:pStyle w:val="NormalWeb"/>
        <w:spacing w:before="0" w:beforeAutospacing="0" w:after="0" w:afterAutospacing="0" w:line="276" w:lineRule="auto"/>
        <w:ind w:firstLine="720"/>
        <w:jc w:val="both"/>
        <w:rPr>
          <w:color w:val="000000"/>
          <w:sz w:val="22"/>
          <w:szCs w:val="22"/>
        </w:rPr>
      </w:pPr>
      <w:r w:rsidRPr="008A6DBE">
        <w:rPr>
          <w:color w:val="000000"/>
          <w:sz w:val="22"/>
          <w:szCs w:val="22"/>
        </w:rPr>
        <w:t>Martinez’s estate filed a complaint</w:t>
      </w:r>
      <w:r w:rsidR="005164D9" w:rsidRPr="008A6DBE">
        <w:rPr>
          <w:color w:val="000000"/>
          <w:sz w:val="22"/>
          <w:szCs w:val="22"/>
        </w:rPr>
        <w:t>,</w:t>
      </w:r>
      <w:r w:rsidRPr="008A6DBE">
        <w:rPr>
          <w:color w:val="000000"/>
          <w:sz w:val="22"/>
          <w:szCs w:val="22"/>
        </w:rPr>
        <w:t xml:space="preserve"> alleging Kafatia, acting within the course and scope of his employment, “negligently and recklessly” injured Martinez, resulting in his death.</w:t>
      </w:r>
      <w:r w:rsidR="008A6DBE" w:rsidRPr="008A6DBE">
        <w:rPr>
          <w:color w:val="000000"/>
          <w:sz w:val="22"/>
          <w:szCs w:val="22"/>
        </w:rPr>
        <w:t xml:space="preserve"> </w:t>
      </w:r>
      <w:r w:rsidR="008A6DBE" w:rsidRPr="008A6DBE">
        <w:rPr>
          <w:i/>
          <w:iCs/>
          <w:sz w:val="22"/>
          <w:szCs w:val="22"/>
          <w:shd w:val="clear" w:color="auto" w:fill="FFFFFF"/>
        </w:rPr>
        <w:t xml:space="preserve"> </w:t>
      </w:r>
      <w:r w:rsidR="00403587" w:rsidRPr="008A6DBE">
        <w:rPr>
          <w:i/>
          <w:iCs/>
          <w:sz w:val="22"/>
          <w:szCs w:val="22"/>
          <w:shd w:val="clear" w:color="auto" w:fill="FFFFFF"/>
        </w:rPr>
        <w:t>Id</w:t>
      </w:r>
      <w:r w:rsidR="00403587" w:rsidRPr="008A6DBE">
        <w:rPr>
          <w:sz w:val="22"/>
          <w:szCs w:val="22"/>
        </w:rPr>
        <w:t xml:space="preserve">. </w:t>
      </w:r>
      <w:r w:rsidRPr="008A6DBE">
        <w:rPr>
          <w:color w:val="000000"/>
          <w:sz w:val="22"/>
          <w:szCs w:val="22"/>
        </w:rPr>
        <w:t xml:space="preserve"> Oaklawn filed a motion to dismiss under Trial Rule 12(B)(1) arguing the court lacked subject matter jurisdiction over the Complaint because the Estate failed to proceed through the medical review panel process.  </w:t>
      </w:r>
      <w:r w:rsidR="00403587" w:rsidRPr="008A6DBE">
        <w:rPr>
          <w:i/>
          <w:iCs/>
          <w:sz w:val="22"/>
          <w:szCs w:val="22"/>
          <w:shd w:val="clear" w:color="auto" w:fill="FFFFFF"/>
        </w:rPr>
        <w:t xml:space="preserve">Id. </w:t>
      </w:r>
      <w:r w:rsidR="00403587" w:rsidRPr="008A6DBE">
        <w:rPr>
          <w:sz w:val="22"/>
          <w:szCs w:val="22"/>
        </w:rPr>
        <w:t xml:space="preserve">at 554.  </w:t>
      </w:r>
      <w:r w:rsidRPr="008A6DBE">
        <w:rPr>
          <w:color w:val="000000"/>
          <w:sz w:val="22"/>
          <w:szCs w:val="22"/>
        </w:rPr>
        <w:t xml:space="preserve">The trial court granted Oaklawn’s motion to dismiss, and Martinez appealed. </w:t>
      </w:r>
    </w:p>
    <w:p w14:paraId="7962C6E9" w14:textId="78379CD1" w:rsidR="008F41B4" w:rsidRPr="008A6DBE" w:rsidRDefault="008F41B4" w:rsidP="001D1B8C">
      <w:pPr>
        <w:pStyle w:val="NormalWeb"/>
        <w:spacing w:before="0" w:beforeAutospacing="0" w:after="0" w:afterAutospacing="0" w:line="276" w:lineRule="auto"/>
        <w:jc w:val="both"/>
        <w:rPr>
          <w:color w:val="000000"/>
          <w:sz w:val="22"/>
          <w:szCs w:val="22"/>
        </w:rPr>
      </w:pPr>
      <w:r w:rsidRPr="008A6DBE">
        <w:rPr>
          <w:color w:val="000000"/>
          <w:sz w:val="22"/>
          <w:szCs w:val="22"/>
        </w:rPr>
        <w:tab/>
      </w:r>
    </w:p>
    <w:p w14:paraId="5D75D15A" w14:textId="1C8054CF" w:rsidR="008F41B4" w:rsidRPr="008A6DBE" w:rsidRDefault="008F41B4" w:rsidP="002407EE">
      <w:pPr>
        <w:pStyle w:val="NormalWeb"/>
        <w:spacing w:before="0" w:beforeAutospacing="0" w:after="0" w:afterAutospacing="0" w:line="276" w:lineRule="auto"/>
        <w:ind w:firstLine="720"/>
        <w:jc w:val="both"/>
        <w:rPr>
          <w:color w:val="000000"/>
          <w:sz w:val="22"/>
          <w:szCs w:val="22"/>
        </w:rPr>
      </w:pPr>
      <w:r w:rsidRPr="008A6DBE">
        <w:rPr>
          <w:color w:val="000000"/>
          <w:sz w:val="22"/>
          <w:szCs w:val="22"/>
        </w:rPr>
        <w:t xml:space="preserve">The Indiana Court of Appeals affirmed, holding Kafatia’s misconduct was subject to the medical review panel process. </w:t>
      </w:r>
      <w:r w:rsidR="00403587" w:rsidRPr="008A6DBE">
        <w:rPr>
          <w:i/>
          <w:iCs/>
          <w:sz w:val="22"/>
          <w:szCs w:val="22"/>
          <w:shd w:val="clear" w:color="auto" w:fill="FFFFFF"/>
        </w:rPr>
        <w:t xml:space="preserve">Id. </w:t>
      </w:r>
      <w:r w:rsidR="00403587" w:rsidRPr="008A6DBE">
        <w:rPr>
          <w:sz w:val="22"/>
          <w:szCs w:val="22"/>
        </w:rPr>
        <w:t>at 562.</w:t>
      </w:r>
      <w:r w:rsidRPr="008A6DBE">
        <w:rPr>
          <w:color w:val="000000"/>
          <w:sz w:val="22"/>
          <w:szCs w:val="22"/>
        </w:rPr>
        <w:t xml:space="preserve">  The court declared that under the Indiana Supreme Court’s “broadened scope of employment” as set forth in </w:t>
      </w:r>
      <w:r w:rsidRPr="008A6DBE">
        <w:rPr>
          <w:i/>
          <w:iCs/>
          <w:color w:val="000000"/>
          <w:sz w:val="22"/>
          <w:szCs w:val="22"/>
        </w:rPr>
        <w:t>Cox</w:t>
      </w:r>
      <w:r w:rsidRPr="008A6DBE">
        <w:rPr>
          <w:color w:val="000000"/>
          <w:sz w:val="22"/>
          <w:szCs w:val="22"/>
        </w:rPr>
        <w:t>, the new test for determining whether the Medical Malpractice Act applies to specific misconduct is “whether that misconduct arises naturally or predictably from the relationship between the health care provider and patient or from an opportunity provided by that relationship.”   </w:t>
      </w:r>
      <w:r w:rsidR="00403587" w:rsidRPr="008A6DBE">
        <w:rPr>
          <w:i/>
          <w:iCs/>
          <w:sz w:val="22"/>
          <w:szCs w:val="22"/>
          <w:shd w:val="clear" w:color="auto" w:fill="FFFFFF"/>
        </w:rPr>
        <w:t xml:space="preserve">Id. </w:t>
      </w:r>
      <w:r w:rsidR="00403587" w:rsidRPr="008A6DBE">
        <w:rPr>
          <w:sz w:val="22"/>
          <w:szCs w:val="22"/>
        </w:rPr>
        <w:t xml:space="preserve">at 558. </w:t>
      </w:r>
      <w:r w:rsidRPr="008A6DBE">
        <w:rPr>
          <w:color w:val="000000"/>
          <w:sz w:val="22"/>
          <w:szCs w:val="22"/>
        </w:rPr>
        <w:t xml:space="preserve">The court also noted “under </w:t>
      </w:r>
      <w:r w:rsidRPr="008A6DBE">
        <w:rPr>
          <w:i/>
          <w:iCs/>
          <w:color w:val="000000"/>
          <w:sz w:val="22"/>
          <w:szCs w:val="22"/>
        </w:rPr>
        <w:t>Cox,</w:t>
      </w:r>
      <w:r w:rsidRPr="008A6DBE">
        <w:rPr>
          <w:color w:val="000000"/>
          <w:sz w:val="22"/>
          <w:szCs w:val="22"/>
        </w:rPr>
        <w:t xml:space="preserve"> such conduct </w:t>
      </w:r>
      <w:r w:rsidR="008A6DBE" w:rsidRPr="008A6DBE">
        <w:rPr>
          <w:color w:val="000000"/>
          <w:sz w:val="22"/>
          <w:szCs w:val="22"/>
        </w:rPr>
        <w:t>m</w:t>
      </w:r>
      <w:r w:rsidRPr="008A6DBE">
        <w:rPr>
          <w:color w:val="000000"/>
          <w:sz w:val="22"/>
          <w:szCs w:val="22"/>
        </w:rPr>
        <w:t>ay include otherwise tortious or abusive conduct.”</w:t>
      </w:r>
      <w:r w:rsidR="008A6DBE" w:rsidRPr="008A6DBE">
        <w:rPr>
          <w:color w:val="000000"/>
          <w:sz w:val="22"/>
          <w:szCs w:val="22"/>
        </w:rPr>
        <w:t xml:space="preserve"> </w:t>
      </w:r>
      <w:r w:rsidRPr="008A6DBE">
        <w:rPr>
          <w:color w:val="000000"/>
          <w:sz w:val="22"/>
          <w:szCs w:val="22"/>
        </w:rPr>
        <w:t> </w:t>
      </w:r>
      <w:r w:rsidR="00403587" w:rsidRPr="008A6DBE">
        <w:rPr>
          <w:i/>
          <w:iCs/>
          <w:sz w:val="22"/>
          <w:szCs w:val="22"/>
          <w:shd w:val="clear" w:color="auto" w:fill="FFFFFF"/>
        </w:rPr>
        <w:t xml:space="preserve">Id. </w:t>
      </w:r>
    </w:p>
    <w:p w14:paraId="0BED5B84" w14:textId="77777777" w:rsidR="008F41B4" w:rsidRPr="008A6DBE" w:rsidRDefault="008F41B4" w:rsidP="001D1B8C">
      <w:pPr>
        <w:pStyle w:val="NormalWeb"/>
        <w:spacing w:before="0" w:beforeAutospacing="0" w:after="0" w:afterAutospacing="0" w:line="276" w:lineRule="auto"/>
        <w:ind w:left="810"/>
        <w:jc w:val="both"/>
        <w:rPr>
          <w:color w:val="000000"/>
          <w:sz w:val="22"/>
          <w:szCs w:val="22"/>
        </w:rPr>
      </w:pPr>
    </w:p>
    <w:p w14:paraId="46361574" w14:textId="369E45C0" w:rsidR="008F41B4" w:rsidRPr="008A6DBE" w:rsidRDefault="008F41B4" w:rsidP="002407EE">
      <w:pPr>
        <w:pStyle w:val="NormalWeb"/>
        <w:spacing w:before="0" w:beforeAutospacing="0" w:after="0" w:afterAutospacing="0" w:line="276" w:lineRule="auto"/>
        <w:ind w:firstLine="720"/>
        <w:jc w:val="both"/>
        <w:rPr>
          <w:sz w:val="22"/>
          <w:szCs w:val="22"/>
        </w:rPr>
      </w:pPr>
      <w:r w:rsidRPr="008A6DBE">
        <w:rPr>
          <w:color w:val="000000"/>
          <w:sz w:val="22"/>
          <w:szCs w:val="22"/>
        </w:rPr>
        <w:t xml:space="preserve">In so holding, </w:t>
      </w:r>
      <w:r w:rsidRPr="008A6DBE">
        <w:rPr>
          <w:sz w:val="22"/>
          <w:szCs w:val="22"/>
        </w:rPr>
        <w:t>the Court reasoned, “Kafatia’s attempt to enforce Martinez’s curfew was a part of Oaklawn’s provision of healthcare to Martinez. When the altercation occurred that injured Martinez, Kafatia was naturally responding to Martinez's physically aggressive behavior by defending himself.”</w:t>
      </w:r>
      <w:r w:rsidR="00403587" w:rsidRPr="008A6DBE">
        <w:rPr>
          <w:i/>
          <w:iCs/>
          <w:sz w:val="22"/>
          <w:szCs w:val="22"/>
          <w:shd w:val="clear" w:color="auto" w:fill="FFFFFF"/>
        </w:rPr>
        <w:t xml:space="preserve"> Id</w:t>
      </w:r>
      <w:r w:rsidR="00403587" w:rsidRPr="008A6DBE">
        <w:rPr>
          <w:sz w:val="22"/>
          <w:szCs w:val="22"/>
        </w:rPr>
        <w:t xml:space="preserve">. at 562. </w:t>
      </w:r>
      <w:r w:rsidRPr="008A6DBE">
        <w:rPr>
          <w:sz w:val="22"/>
          <w:szCs w:val="22"/>
        </w:rPr>
        <w:t xml:space="preserve"> “Kafatia thereafter followed Oaklawn's protocol by removing himself from Martinez's immediate physical presence and waiting for law enforcement to assist with Martinez.  These facts and circumstances, together with the broadened scope of employment set forth in </w:t>
      </w:r>
      <w:r w:rsidRPr="008A6DBE">
        <w:rPr>
          <w:i/>
          <w:iCs/>
          <w:sz w:val="22"/>
          <w:szCs w:val="22"/>
        </w:rPr>
        <w:t>Cox</w:t>
      </w:r>
      <w:r w:rsidRPr="008A6DBE">
        <w:rPr>
          <w:sz w:val="22"/>
          <w:szCs w:val="22"/>
        </w:rPr>
        <w:t xml:space="preserve">, place the incident and injuries squarely within the scope of the Medical Malpractice Act.” </w:t>
      </w:r>
      <w:r w:rsidR="00403587" w:rsidRPr="008A6DBE">
        <w:rPr>
          <w:i/>
          <w:iCs/>
          <w:sz w:val="22"/>
          <w:szCs w:val="22"/>
          <w:shd w:val="clear" w:color="auto" w:fill="FFFFFF"/>
        </w:rPr>
        <w:t>Id</w:t>
      </w:r>
      <w:r w:rsidR="00403587" w:rsidRPr="008A6DBE">
        <w:rPr>
          <w:sz w:val="22"/>
          <w:szCs w:val="22"/>
        </w:rPr>
        <w:t xml:space="preserve">. </w:t>
      </w:r>
      <w:r w:rsidRPr="008A6DBE">
        <w:rPr>
          <w:sz w:val="22"/>
          <w:szCs w:val="22"/>
        </w:rPr>
        <w:tab/>
      </w:r>
    </w:p>
    <w:p w14:paraId="7C66F462" w14:textId="07F7D0D8" w:rsidR="003F669F" w:rsidRPr="008A6DBE" w:rsidRDefault="003F669F" w:rsidP="001D1B8C">
      <w:pPr>
        <w:spacing w:line="276" w:lineRule="auto"/>
        <w:rPr>
          <w:rFonts w:ascii="Times New Roman" w:hAnsi="Times New Roman" w:cs="Times New Roman"/>
        </w:rPr>
      </w:pPr>
    </w:p>
    <w:p w14:paraId="2C4A831D" w14:textId="69D19477" w:rsidR="005C4C7A" w:rsidRPr="008A6DBE" w:rsidRDefault="00AA4EA0" w:rsidP="001D1B8C">
      <w:pPr>
        <w:pStyle w:val="ListParagraph"/>
        <w:numPr>
          <w:ilvl w:val="0"/>
          <w:numId w:val="1"/>
        </w:numPr>
        <w:spacing w:line="276" w:lineRule="auto"/>
        <w:rPr>
          <w:rFonts w:ascii="Times New Roman" w:hAnsi="Times New Roman" w:cs="Times New Roman"/>
          <w:b/>
          <w:bCs/>
        </w:rPr>
      </w:pPr>
      <w:r w:rsidRPr="008A6DBE">
        <w:rPr>
          <w:rFonts w:ascii="Times New Roman" w:hAnsi="Times New Roman" w:cs="Times New Roman"/>
          <w:b/>
          <w:bCs/>
        </w:rPr>
        <w:t xml:space="preserve">Sexual </w:t>
      </w:r>
      <w:r w:rsidR="00AA3621" w:rsidRPr="008A6DBE">
        <w:rPr>
          <w:rFonts w:ascii="Times New Roman" w:hAnsi="Times New Roman" w:cs="Times New Roman"/>
          <w:b/>
          <w:bCs/>
        </w:rPr>
        <w:t>a</w:t>
      </w:r>
      <w:r w:rsidRPr="008A6DBE">
        <w:rPr>
          <w:rFonts w:ascii="Times New Roman" w:hAnsi="Times New Roman" w:cs="Times New Roman"/>
          <w:b/>
          <w:bCs/>
        </w:rPr>
        <w:t>ssault cases against healthcare providers p</w:t>
      </w:r>
      <w:r w:rsidR="005C4C7A" w:rsidRPr="008A6DBE">
        <w:rPr>
          <w:rFonts w:ascii="Times New Roman" w:hAnsi="Times New Roman" w:cs="Times New Roman"/>
          <w:b/>
          <w:bCs/>
        </w:rPr>
        <w:t>ost-</w:t>
      </w:r>
      <w:r w:rsidR="005C4C7A" w:rsidRPr="008A6DBE">
        <w:rPr>
          <w:rFonts w:ascii="Times New Roman" w:hAnsi="Times New Roman" w:cs="Times New Roman"/>
          <w:b/>
          <w:bCs/>
          <w:i/>
          <w:iCs/>
        </w:rPr>
        <w:t xml:space="preserve">Martinez </w:t>
      </w:r>
    </w:p>
    <w:p w14:paraId="6744C7EF" w14:textId="77777777" w:rsidR="00B13C2C" w:rsidRPr="008A6DBE" w:rsidRDefault="008F41B4" w:rsidP="001D1B8C">
      <w:pPr>
        <w:shd w:val="clear" w:color="auto" w:fill="FFFFFF"/>
        <w:spacing w:after="0" w:line="276" w:lineRule="auto"/>
        <w:ind w:firstLine="720"/>
        <w:jc w:val="both"/>
        <w:rPr>
          <w:rFonts w:ascii="Times New Roman" w:eastAsia="Times New Roman" w:hAnsi="Times New Roman" w:cs="Times New Roman"/>
          <w:color w:val="000000"/>
        </w:rPr>
      </w:pPr>
      <w:r w:rsidRPr="008A6DBE">
        <w:rPr>
          <w:rFonts w:ascii="Times New Roman" w:eastAsia="Times New Roman" w:hAnsi="Times New Roman" w:cs="Times New Roman"/>
          <w:color w:val="000000"/>
        </w:rPr>
        <w:t xml:space="preserve">The </w:t>
      </w:r>
      <w:r w:rsidR="009D5E15" w:rsidRPr="008A6DBE">
        <w:rPr>
          <w:rFonts w:ascii="Times New Roman" w:eastAsia="Times New Roman" w:hAnsi="Times New Roman" w:cs="Times New Roman"/>
          <w:i/>
          <w:iCs/>
          <w:color w:val="000000"/>
        </w:rPr>
        <w:t>Cox</w:t>
      </w:r>
      <w:r w:rsidR="009D5E15" w:rsidRPr="008A6DBE">
        <w:rPr>
          <w:rFonts w:ascii="Times New Roman" w:eastAsia="Times New Roman" w:hAnsi="Times New Roman" w:cs="Times New Roman"/>
          <w:color w:val="000000"/>
        </w:rPr>
        <w:t xml:space="preserve"> and </w:t>
      </w:r>
      <w:r w:rsidR="009D5E15" w:rsidRPr="008A6DBE">
        <w:rPr>
          <w:rFonts w:ascii="Times New Roman" w:eastAsia="Times New Roman" w:hAnsi="Times New Roman" w:cs="Times New Roman"/>
          <w:i/>
          <w:iCs/>
          <w:color w:val="000000"/>
        </w:rPr>
        <w:t>Martinez</w:t>
      </w:r>
      <w:r w:rsidR="009D5E15" w:rsidRPr="008A6DBE">
        <w:rPr>
          <w:rFonts w:ascii="Times New Roman" w:eastAsia="Times New Roman" w:hAnsi="Times New Roman" w:cs="Times New Roman"/>
          <w:color w:val="000000"/>
        </w:rPr>
        <w:t xml:space="preserve"> decisions</w:t>
      </w:r>
      <w:r w:rsidRPr="008A6DBE">
        <w:rPr>
          <w:rFonts w:ascii="Times New Roman" w:eastAsia="Times New Roman" w:hAnsi="Times New Roman" w:cs="Times New Roman"/>
          <w:color w:val="000000"/>
        </w:rPr>
        <w:t xml:space="preserve"> provide a strong indication that a health care provider’s act of </w:t>
      </w:r>
      <w:r w:rsidR="009D5E15" w:rsidRPr="008A6DBE">
        <w:rPr>
          <w:rFonts w:ascii="Times New Roman" w:eastAsia="Times New Roman" w:hAnsi="Times New Roman" w:cs="Times New Roman"/>
          <w:color w:val="000000"/>
        </w:rPr>
        <w:t>sexual abuse of a patient would be subject to the MMA</w:t>
      </w:r>
      <w:r w:rsidRPr="008A6DBE">
        <w:rPr>
          <w:rFonts w:ascii="Times New Roman" w:eastAsia="Times New Roman" w:hAnsi="Times New Roman" w:cs="Times New Roman"/>
          <w:color w:val="000000"/>
        </w:rPr>
        <w:t xml:space="preserve"> if the act arises naturally or predictably from the relationship between the health care provider and the patient.</w:t>
      </w:r>
      <w:r w:rsidR="009D5E15" w:rsidRPr="008A6DBE">
        <w:rPr>
          <w:rFonts w:ascii="Times New Roman" w:eastAsia="Times New Roman" w:hAnsi="Times New Roman" w:cs="Times New Roman"/>
          <w:color w:val="000000"/>
        </w:rPr>
        <w:t xml:space="preserve">  </w:t>
      </w:r>
    </w:p>
    <w:p w14:paraId="0D87A391" w14:textId="77777777" w:rsidR="00B13C2C" w:rsidRPr="008A6DBE" w:rsidRDefault="00B13C2C" w:rsidP="001D1B8C">
      <w:pPr>
        <w:shd w:val="clear" w:color="auto" w:fill="FFFFFF"/>
        <w:spacing w:after="0" w:line="276" w:lineRule="auto"/>
        <w:ind w:firstLine="720"/>
        <w:jc w:val="both"/>
        <w:rPr>
          <w:rFonts w:ascii="Times New Roman" w:eastAsia="Times New Roman" w:hAnsi="Times New Roman" w:cs="Times New Roman"/>
          <w:color w:val="000000"/>
        </w:rPr>
      </w:pPr>
    </w:p>
    <w:p w14:paraId="276A62E6" w14:textId="7B275E9D" w:rsidR="009D5E15" w:rsidRPr="008A6DBE" w:rsidRDefault="009D5E15" w:rsidP="001D1B8C">
      <w:pPr>
        <w:shd w:val="clear" w:color="auto" w:fill="FFFFFF"/>
        <w:spacing w:after="0" w:line="276" w:lineRule="auto"/>
        <w:ind w:firstLine="720"/>
        <w:jc w:val="both"/>
        <w:rPr>
          <w:rFonts w:ascii="Times New Roman" w:eastAsia="Times New Roman" w:hAnsi="Times New Roman" w:cs="Times New Roman"/>
          <w:shd w:val="clear" w:color="auto" w:fill="FFFFFF"/>
        </w:rPr>
      </w:pPr>
      <w:r w:rsidRPr="008A6DBE">
        <w:rPr>
          <w:rFonts w:ascii="Times New Roman" w:eastAsia="Times New Roman" w:hAnsi="Times New Roman" w:cs="Times New Roman"/>
          <w:color w:val="000000"/>
        </w:rPr>
        <w:t xml:space="preserve">Clearly, sexual abuse cannot be said to further the </w:t>
      </w:r>
      <w:r w:rsidRPr="008A6DBE">
        <w:rPr>
          <w:rFonts w:ascii="Times New Roman" w:eastAsia="Times New Roman" w:hAnsi="Times New Roman" w:cs="Times New Roman"/>
          <w:shd w:val="clear" w:color="auto" w:fill="FFFFFF"/>
        </w:rPr>
        <w:t>promotion of a patient's health.</w:t>
      </w:r>
      <w:r w:rsidR="008F41B4" w:rsidRPr="008A6DBE">
        <w:rPr>
          <w:rFonts w:ascii="Times New Roman" w:eastAsia="Times New Roman" w:hAnsi="Times New Roman" w:cs="Times New Roman"/>
          <w:shd w:val="clear" w:color="auto" w:fill="FFFFFF"/>
        </w:rPr>
        <w:t xml:space="preserve"> </w:t>
      </w:r>
      <w:r w:rsidRPr="008A6DBE">
        <w:rPr>
          <w:rFonts w:ascii="Times New Roman" w:eastAsia="Times New Roman" w:hAnsi="Times New Roman" w:cs="Times New Roman"/>
          <w:shd w:val="clear" w:color="auto" w:fill="FFFFFF"/>
        </w:rPr>
        <w:t xml:space="preserve">  Nor does the misconduct require a panel of medical experts to determine whether the conduct fell below the standard of professional expertise, skill, or judgment required by a health care provider.   However, under </w:t>
      </w:r>
      <w:r w:rsidRPr="008A6DBE">
        <w:rPr>
          <w:rFonts w:ascii="Times New Roman" w:eastAsia="Times New Roman" w:hAnsi="Times New Roman" w:cs="Times New Roman"/>
          <w:i/>
          <w:iCs/>
          <w:shd w:val="clear" w:color="auto" w:fill="FFFFFF"/>
        </w:rPr>
        <w:t>Cox</w:t>
      </w:r>
      <w:r w:rsidRPr="008A6DBE">
        <w:rPr>
          <w:rFonts w:ascii="Times New Roman" w:eastAsia="Times New Roman" w:hAnsi="Times New Roman" w:cs="Times New Roman"/>
          <w:shd w:val="clear" w:color="auto" w:fill="FFFFFF"/>
        </w:rPr>
        <w:t xml:space="preserve"> and </w:t>
      </w:r>
      <w:r w:rsidRPr="008A6DBE">
        <w:rPr>
          <w:rFonts w:ascii="Times New Roman" w:eastAsia="Times New Roman" w:hAnsi="Times New Roman" w:cs="Times New Roman"/>
          <w:i/>
          <w:iCs/>
          <w:shd w:val="clear" w:color="auto" w:fill="FFFFFF"/>
        </w:rPr>
        <w:lastRenderedPageBreak/>
        <w:t>Martinez</w:t>
      </w:r>
      <w:r w:rsidRPr="008A6DBE">
        <w:rPr>
          <w:rFonts w:ascii="Times New Roman" w:eastAsia="Times New Roman" w:hAnsi="Times New Roman" w:cs="Times New Roman"/>
          <w:shd w:val="clear" w:color="auto" w:fill="FFFFFF"/>
        </w:rPr>
        <w:t xml:space="preserve">, Indiana courts seem to indicate that even “tortious or abusive conduct,” like the sexual abuse at issue in </w:t>
      </w:r>
      <w:r w:rsidRPr="008A6DBE">
        <w:rPr>
          <w:rFonts w:ascii="Times New Roman" w:eastAsia="Times New Roman" w:hAnsi="Times New Roman" w:cs="Times New Roman"/>
          <w:i/>
          <w:iCs/>
          <w:shd w:val="clear" w:color="auto" w:fill="FFFFFF"/>
        </w:rPr>
        <w:t>Cox</w:t>
      </w:r>
      <w:r w:rsidR="00AA3621" w:rsidRPr="008A6DBE">
        <w:rPr>
          <w:rFonts w:ascii="Times New Roman" w:eastAsia="Times New Roman" w:hAnsi="Times New Roman" w:cs="Times New Roman"/>
          <w:i/>
          <w:iCs/>
          <w:shd w:val="clear" w:color="auto" w:fill="FFFFFF"/>
        </w:rPr>
        <w:t xml:space="preserve"> </w:t>
      </w:r>
      <w:r w:rsidRPr="008A6DBE">
        <w:rPr>
          <w:rFonts w:ascii="Times New Roman" w:eastAsia="Times New Roman" w:hAnsi="Times New Roman" w:cs="Times New Roman"/>
          <w:shd w:val="clear" w:color="auto" w:fill="FFFFFF"/>
        </w:rPr>
        <w:t xml:space="preserve">may arise under the scope of a health care provider’s employment, and therefore be subject to the Act. </w:t>
      </w:r>
    </w:p>
    <w:p w14:paraId="3664B072" w14:textId="4FD1D5D0" w:rsidR="00AA3621" w:rsidRPr="008A6DBE" w:rsidRDefault="00AA3621"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ab/>
      </w:r>
    </w:p>
    <w:p w14:paraId="0811FAE6" w14:textId="13AFA7FA" w:rsidR="00B13C2C" w:rsidRPr="008A6DBE" w:rsidRDefault="00AA3621" w:rsidP="00AA3621">
      <w:pPr>
        <w:pStyle w:val="ListParagraph"/>
        <w:numPr>
          <w:ilvl w:val="0"/>
          <w:numId w:val="1"/>
        </w:numPr>
        <w:shd w:val="clear" w:color="auto" w:fill="FFFFFF"/>
        <w:spacing w:after="0" w:line="276" w:lineRule="auto"/>
        <w:jc w:val="both"/>
        <w:rPr>
          <w:rFonts w:ascii="Times New Roman" w:eastAsia="Times New Roman" w:hAnsi="Times New Roman" w:cs="Times New Roman"/>
          <w:b/>
          <w:bCs/>
        </w:rPr>
      </w:pPr>
      <w:r w:rsidRPr="008A6DBE">
        <w:rPr>
          <w:rFonts w:ascii="Times New Roman" w:eastAsia="Times New Roman" w:hAnsi="Times New Roman" w:cs="Times New Roman"/>
          <w:b/>
          <w:bCs/>
        </w:rPr>
        <w:t>Statutes of Limitation</w:t>
      </w:r>
      <w:r w:rsidR="006176C2">
        <w:rPr>
          <w:rFonts w:ascii="Times New Roman" w:eastAsia="Times New Roman" w:hAnsi="Times New Roman" w:cs="Times New Roman"/>
          <w:b/>
          <w:bCs/>
        </w:rPr>
        <w:t>: Medical Malpractice v. Sexual Assault</w:t>
      </w:r>
    </w:p>
    <w:p w14:paraId="0249DC98" w14:textId="77777777" w:rsidR="00AA3621" w:rsidRPr="008A6DBE" w:rsidRDefault="00AA3621" w:rsidP="00AA3621">
      <w:pPr>
        <w:pStyle w:val="ListParagraph"/>
        <w:shd w:val="clear" w:color="auto" w:fill="FFFFFF"/>
        <w:spacing w:after="0" w:line="276" w:lineRule="auto"/>
        <w:ind w:left="810"/>
        <w:jc w:val="both"/>
        <w:rPr>
          <w:rFonts w:ascii="Times New Roman" w:eastAsia="Times New Roman" w:hAnsi="Times New Roman" w:cs="Times New Roman"/>
        </w:rPr>
      </w:pPr>
    </w:p>
    <w:p w14:paraId="4008BF50" w14:textId="0FFF67B9" w:rsidR="00AA3621" w:rsidRPr="008A6DBE" w:rsidRDefault="00AA3621" w:rsidP="001D1B8C">
      <w:pPr>
        <w:shd w:val="clear" w:color="auto" w:fill="FFFFFF"/>
        <w:spacing w:after="0" w:line="276" w:lineRule="auto"/>
        <w:jc w:val="both"/>
        <w:rPr>
          <w:rFonts w:ascii="Times New Roman" w:eastAsia="Times New Roman" w:hAnsi="Times New Roman" w:cs="Times New Roman"/>
        </w:rPr>
      </w:pPr>
      <w:r w:rsidRPr="008A6DBE">
        <w:rPr>
          <w:rFonts w:ascii="Times New Roman" w:eastAsia="Times New Roman" w:hAnsi="Times New Roman" w:cs="Times New Roman"/>
        </w:rPr>
        <w:tab/>
        <w:t xml:space="preserve">The new case law in Indiana creates an inherent conflict between the statutes of limitation in Indiana that apply to sexual assault </w:t>
      </w:r>
      <w:r w:rsidR="006176C2">
        <w:rPr>
          <w:rFonts w:ascii="Times New Roman" w:eastAsia="Times New Roman" w:hAnsi="Times New Roman" w:cs="Times New Roman"/>
        </w:rPr>
        <w:t xml:space="preserve">of a minor </w:t>
      </w:r>
      <w:r w:rsidRPr="008A6DBE">
        <w:rPr>
          <w:rFonts w:ascii="Times New Roman" w:eastAsia="Times New Roman" w:hAnsi="Times New Roman" w:cs="Times New Roman"/>
        </w:rPr>
        <w:t xml:space="preserve">and the statutes of limitation that apply to medical malpractice. </w:t>
      </w:r>
    </w:p>
    <w:p w14:paraId="4E90254E" w14:textId="0AF3F975" w:rsidR="00AA3621" w:rsidRPr="008A6DBE" w:rsidRDefault="00AA3621" w:rsidP="001D1B8C">
      <w:pPr>
        <w:shd w:val="clear" w:color="auto" w:fill="FFFFFF"/>
        <w:spacing w:after="0" w:line="276" w:lineRule="auto"/>
        <w:jc w:val="both"/>
        <w:rPr>
          <w:rFonts w:ascii="Times New Roman" w:eastAsia="Times New Roman" w:hAnsi="Times New Roman" w:cs="Times New Roman"/>
        </w:rPr>
      </w:pPr>
    </w:p>
    <w:p w14:paraId="7734D1F8" w14:textId="4068169F" w:rsidR="002920AE" w:rsidRDefault="00AA3621" w:rsidP="00F00620">
      <w:pPr>
        <w:shd w:val="clear" w:color="auto" w:fill="FFFFFF"/>
        <w:spacing w:after="0" w:line="276" w:lineRule="auto"/>
        <w:jc w:val="both"/>
        <w:rPr>
          <w:rFonts w:ascii="Times New Roman" w:hAnsi="Times New Roman" w:cs="Times New Roman"/>
        </w:rPr>
      </w:pPr>
      <w:r w:rsidRPr="008A6DBE">
        <w:rPr>
          <w:rFonts w:ascii="Times New Roman" w:eastAsia="Times New Roman" w:hAnsi="Times New Roman" w:cs="Times New Roman"/>
        </w:rPr>
        <w:tab/>
        <w:t xml:space="preserve">Under Indiana Code </w:t>
      </w:r>
      <w:r w:rsidRPr="008A6DBE">
        <w:rPr>
          <w:rFonts w:ascii="Times New Roman" w:hAnsi="Times New Roman" w:cs="Times New Roman"/>
        </w:rPr>
        <w:t xml:space="preserve">section 34-11-2-4(a)(1), the statute of limitation to bring a civil sexual assault claim is two (2) years for an adult.  Under Indiana Code section 34-11-2-4(b)(1)-(2), the statute of limitation for an injury that results from sexual abuse of a child is seven (7) years after the cause of action accrues, or four (4) years after the person ceases to be a dependent of the person alleged to have performed the sexual abuse. </w:t>
      </w:r>
      <w:bookmarkStart w:id="1" w:name="_GoBack"/>
      <w:bookmarkEnd w:id="1"/>
      <w:r w:rsidR="006176C2">
        <w:rPr>
          <w:rFonts w:ascii="Times New Roman" w:hAnsi="Times New Roman" w:cs="Times New Roman"/>
        </w:rPr>
        <w:br/>
      </w:r>
    </w:p>
    <w:p w14:paraId="5D95569F" w14:textId="0BB9EFE5" w:rsidR="00AA3621" w:rsidRDefault="00AA3621" w:rsidP="002920AE">
      <w:pPr>
        <w:shd w:val="clear" w:color="auto" w:fill="FFFFFF"/>
        <w:spacing w:after="0" w:line="276" w:lineRule="auto"/>
        <w:ind w:firstLine="720"/>
        <w:jc w:val="both"/>
        <w:rPr>
          <w:rFonts w:ascii="Times New Roman" w:hAnsi="Times New Roman" w:cs="Times New Roman"/>
        </w:rPr>
      </w:pPr>
      <w:r w:rsidRPr="008A6DBE">
        <w:rPr>
          <w:rFonts w:ascii="Times New Roman" w:hAnsi="Times New Roman" w:cs="Times New Roman"/>
        </w:rPr>
        <w:t xml:space="preserve">These statutes of limitation are in direct conflict with the statute of limitations </w:t>
      </w:r>
      <w:r w:rsidR="007F4A16" w:rsidRPr="008A6DBE">
        <w:rPr>
          <w:rFonts w:ascii="Times New Roman" w:hAnsi="Times New Roman" w:cs="Times New Roman"/>
        </w:rPr>
        <w:t xml:space="preserve">to bring a </w:t>
      </w:r>
      <w:r w:rsidRPr="008A6DBE">
        <w:rPr>
          <w:rFonts w:ascii="Times New Roman" w:hAnsi="Times New Roman" w:cs="Times New Roman"/>
        </w:rPr>
        <w:t xml:space="preserve"> </w:t>
      </w:r>
      <w:r w:rsidR="007F4A16" w:rsidRPr="008A6DBE">
        <w:rPr>
          <w:rFonts w:ascii="Times New Roman" w:hAnsi="Times New Roman" w:cs="Times New Roman"/>
        </w:rPr>
        <w:t xml:space="preserve">claim of medical malpractice, which is two (2) years (or until a minor’s eight birthday, if the minor is less than six (6) years of age when the alleged malpractice occurs). </w:t>
      </w:r>
      <w:r w:rsidRPr="008A6DBE">
        <w:rPr>
          <w:rFonts w:ascii="Times New Roman" w:hAnsi="Times New Roman" w:cs="Times New Roman"/>
        </w:rPr>
        <w:t xml:space="preserve"> Ind. Code § 34-18-7-1 (1998).</w:t>
      </w:r>
      <w:r w:rsidR="006176C2">
        <w:rPr>
          <w:rFonts w:ascii="Times New Roman" w:hAnsi="Times New Roman" w:cs="Times New Roman"/>
        </w:rPr>
        <w:t xml:space="preserve"> So, for example, if a doctor commits malpractice on a </w:t>
      </w:r>
      <w:r w:rsidR="0029542E">
        <w:rPr>
          <w:rFonts w:ascii="Times New Roman" w:hAnsi="Times New Roman" w:cs="Times New Roman"/>
        </w:rPr>
        <w:t>5-year-old</w:t>
      </w:r>
      <w:r w:rsidR="006176C2">
        <w:rPr>
          <w:rFonts w:ascii="Times New Roman" w:hAnsi="Times New Roman" w:cs="Times New Roman"/>
        </w:rPr>
        <w:t xml:space="preserve"> child in Indiana, that child and his parents have until the child’s 8</w:t>
      </w:r>
      <w:r w:rsidR="006176C2" w:rsidRPr="00F00620">
        <w:rPr>
          <w:rFonts w:ascii="Times New Roman" w:hAnsi="Times New Roman" w:cs="Times New Roman"/>
          <w:vertAlign w:val="superscript"/>
        </w:rPr>
        <w:t>th</w:t>
      </w:r>
      <w:r w:rsidR="006176C2">
        <w:rPr>
          <w:rFonts w:ascii="Times New Roman" w:hAnsi="Times New Roman" w:cs="Times New Roman"/>
        </w:rPr>
        <w:t xml:space="preserve"> birthday to bring a claim for medical malpractice.  </w:t>
      </w:r>
    </w:p>
    <w:p w14:paraId="39F20C97" w14:textId="77777777" w:rsidR="002407EE" w:rsidRPr="008A6DBE" w:rsidRDefault="002407EE" w:rsidP="00F00620">
      <w:pPr>
        <w:shd w:val="clear" w:color="auto" w:fill="FFFFFF"/>
        <w:spacing w:after="0" w:line="276" w:lineRule="auto"/>
        <w:jc w:val="both"/>
        <w:rPr>
          <w:rFonts w:ascii="Times New Roman" w:hAnsi="Times New Roman" w:cs="Times New Roman"/>
        </w:rPr>
      </w:pPr>
    </w:p>
    <w:p w14:paraId="212E3F9B" w14:textId="67AA7398" w:rsidR="006128B3" w:rsidRPr="008A6DBE" w:rsidRDefault="006176C2" w:rsidP="001D1B8C">
      <w:pPr>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In</w:t>
      </w:r>
      <w:r w:rsidR="009D5E15" w:rsidRPr="008A6DBE">
        <w:rPr>
          <w:rFonts w:ascii="Times New Roman" w:eastAsia="Times New Roman" w:hAnsi="Times New Roman" w:cs="Times New Roman"/>
        </w:rPr>
        <w:t xml:space="preserve"> an abundance of caution, Cohen &amp; Malad has started </w:t>
      </w:r>
      <w:r w:rsidR="007F4A16" w:rsidRPr="008A6DBE">
        <w:rPr>
          <w:rFonts w:ascii="Times New Roman" w:eastAsia="Times New Roman" w:hAnsi="Times New Roman" w:cs="Times New Roman"/>
        </w:rPr>
        <w:t xml:space="preserve">promptly </w:t>
      </w:r>
      <w:r w:rsidR="009D5E15" w:rsidRPr="008A6DBE">
        <w:rPr>
          <w:rFonts w:ascii="Times New Roman" w:eastAsia="Times New Roman" w:hAnsi="Times New Roman" w:cs="Times New Roman"/>
        </w:rPr>
        <w:t>double-filing cases</w:t>
      </w:r>
      <w:r w:rsidR="007F4A16" w:rsidRPr="008A6DBE">
        <w:rPr>
          <w:rFonts w:ascii="Times New Roman" w:eastAsia="Times New Roman" w:hAnsi="Times New Roman" w:cs="Times New Roman"/>
        </w:rPr>
        <w:t xml:space="preserve"> where there are</w:t>
      </w:r>
      <w:r w:rsidR="009D5E15" w:rsidRPr="008A6DBE">
        <w:rPr>
          <w:rFonts w:ascii="Times New Roman" w:eastAsia="Times New Roman" w:hAnsi="Times New Roman" w:cs="Times New Roman"/>
        </w:rPr>
        <w:t xml:space="preserve"> alleg</w:t>
      </w:r>
      <w:r w:rsidR="007F4A16" w:rsidRPr="008A6DBE">
        <w:rPr>
          <w:rFonts w:ascii="Times New Roman" w:eastAsia="Times New Roman" w:hAnsi="Times New Roman" w:cs="Times New Roman"/>
        </w:rPr>
        <w:t>ations of</w:t>
      </w:r>
      <w:r w:rsidR="009D5E15" w:rsidRPr="008A6DBE">
        <w:rPr>
          <w:rFonts w:ascii="Times New Roman" w:eastAsia="Times New Roman" w:hAnsi="Times New Roman" w:cs="Times New Roman"/>
        </w:rPr>
        <w:t xml:space="preserve"> sexual assault by a health care provider under both the Indiana Department of Insurance and in state court,</w:t>
      </w:r>
      <w:r w:rsidR="00B13C2C" w:rsidRPr="008A6DBE">
        <w:rPr>
          <w:rFonts w:ascii="Times New Roman" w:eastAsia="Times New Roman" w:hAnsi="Times New Roman" w:cs="Times New Roman"/>
        </w:rPr>
        <w:t xml:space="preserve"> in</w:t>
      </w:r>
      <w:r w:rsidR="009D5E15" w:rsidRPr="008A6DBE">
        <w:rPr>
          <w:rFonts w:ascii="Times New Roman" w:eastAsia="Times New Roman" w:hAnsi="Times New Roman" w:cs="Times New Roman"/>
        </w:rPr>
        <w:t xml:space="preserve"> the event that these </w:t>
      </w:r>
      <w:r w:rsidR="007F4A16" w:rsidRPr="008A6DBE">
        <w:rPr>
          <w:rFonts w:ascii="Times New Roman" w:eastAsia="Times New Roman" w:hAnsi="Times New Roman" w:cs="Times New Roman"/>
        </w:rPr>
        <w:t>allegations</w:t>
      </w:r>
      <w:r w:rsidR="009D5E15" w:rsidRPr="008A6DBE">
        <w:rPr>
          <w:rFonts w:ascii="Times New Roman" w:eastAsia="Times New Roman" w:hAnsi="Times New Roman" w:cs="Times New Roman"/>
        </w:rPr>
        <w:t xml:space="preserve"> are deemed to fall under the scope of the </w:t>
      </w:r>
      <w:r w:rsidR="007F4A16" w:rsidRPr="008A6DBE">
        <w:rPr>
          <w:rFonts w:ascii="Times New Roman" w:eastAsia="Times New Roman" w:hAnsi="Times New Roman" w:cs="Times New Roman"/>
        </w:rPr>
        <w:t xml:space="preserve">Indiana </w:t>
      </w:r>
      <w:r w:rsidR="009D5E15" w:rsidRPr="008A6DBE">
        <w:rPr>
          <w:rFonts w:ascii="Times New Roman" w:eastAsia="Times New Roman" w:hAnsi="Times New Roman" w:cs="Times New Roman"/>
        </w:rPr>
        <w:t>M</w:t>
      </w:r>
      <w:r w:rsidR="007F4A16" w:rsidRPr="008A6DBE">
        <w:rPr>
          <w:rFonts w:ascii="Times New Roman" w:eastAsia="Times New Roman" w:hAnsi="Times New Roman" w:cs="Times New Roman"/>
        </w:rPr>
        <w:t xml:space="preserve">edical </w:t>
      </w:r>
      <w:r w:rsidR="009D5E15" w:rsidRPr="008A6DBE">
        <w:rPr>
          <w:rFonts w:ascii="Times New Roman" w:eastAsia="Times New Roman" w:hAnsi="Times New Roman" w:cs="Times New Roman"/>
        </w:rPr>
        <w:t>M</w:t>
      </w:r>
      <w:r w:rsidR="007F4A16" w:rsidRPr="008A6DBE">
        <w:rPr>
          <w:rFonts w:ascii="Times New Roman" w:eastAsia="Times New Roman" w:hAnsi="Times New Roman" w:cs="Times New Roman"/>
        </w:rPr>
        <w:t xml:space="preserve">alpractice </w:t>
      </w:r>
      <w:r w:rsidR="009D5E15" w:rsidRPr="008A6DBE">
        <w:rPr>
          <w:rFonts w:ascii="Times New Roman" w:eastAsia="Times New Roman" w:hAnsi="Times New Roman" w:cs="Times New Roman"/>
        </w:rPr>
        <w:t>A</w:t>
      </w:r>
      <w:r w:rsidR="007F4A16" w:rsidRPr="008A6DBE">
        <w:rPr>
          <w:rFonts w:ascii="Times New Roman" w:eastAsia="Times New Roman" w:hAnsi="Times New Roman" w:cs="Times New Roman"/>
        </w:rPr>
        <w:t>ct</w:t>
      </w:r>
      <w:r w:rsidR="008A6DBE">
        <w:rPr>
          <w:rFonts w:ascii="Times New Roman" w:eastAsia="Times New Roman" w:hAnsi="Times New Roman" w:cs="Times New Roman"/>
        </w:rPr>
        <w:t xml:space="preserve"> and the shorter statute of limitation applies</w:t>
      </w:r>
      <w:r w:rsidR="009D5E15" w:rsidRPr="008A6DBE">
        <w:rPr>
          <w:rFonts w:ascii="Times New Roman" w:eastAsia="Times New Roman" w:hAnsi="Times New Roman" w:cs="Times New Roman"/>
        </w:rPr>
        <w:t xml:space="preserve">.  This </w:t>
      </w:r>
      <w:r w:rsidR="007F4A16" w:rsidRPr="008A6DBE">
        <w:rPr>
          <w:rFonts w:ascii="Times New Roman" w:eastAsia="Times New Roman" w:hAnsi="Times New Roman" w:cs="Times New Roman"/>
        </w:rPr>
        <w:t xml:space="preserve">practice </w:t>
      </w:r>
      <w:r w:rsidR="009D5E15" w:rsidRPr="008A6DBE">
        <w:rPr>
          <w:rFonts w:ascii="Times New Roman" w:eastAsia="Times New Roman" w:hAnsi="Times New Roman" w:cs="Times New Roman"/>
        </w:rPr>
        <w:t>will avoid any potential statute of limitations issues</w:t>
      </w:r>
      <w:r w:rsidR="007F4A16" w:rsidRPr="008A6DBE">
        <w:rPr>
          <w:rFonts w:ascii="Times New Roman" w:eastAsia="Times New Roman" w:hAnsi="Times New Roman" w:cs="Times New Roman"/>
        </w:rPr>
        <w:t xml:space="preserve"> by enabling a sexual assault case to be filed</w:t>
      </w:r>
      <w:r w:rsidR="00DE3D63" w:rsidRPr="008A6DBE">
        <w:rPr>
          <w:rFonts w:ascii="Times New Roman" w:eastAsia="Times New Roman" w:hAnsi="Times New Roman" w:cs="Times New Roman"/>
        </w:rPr>
        <w:t xml:space="preserve"> in state court</w:t>
      </w:r>
      <w:r w:rsidR="007F4A16" w:rsidRPr="008A6DBE">
        <w:rPr>
          <w:rFonts w:ascii="Times New Roman" w:eastAsia="Times New Roman" w:hAnsi="Times New Roman" w:cs="Times New Roman"/>
        </w:rPr>
        <w:t xml:space="preserve"> and subsequently stayed while the case concurrently proceeds through the medical review panel process under the Indiana Department of Insurance.  </w:t>
      </w:r>
    </w:p>
    <w:p w14:paraId="7FBCBABD" w14:textId="77777777" w:rsidR="006128B3" w:rsidRPr="008A6DBE" w:rsidRDefault="006128B3" w:rsidP="001D1B8C">
      <w:pPr>
        <w:shd w:val="clear" w:color="auto" w:fill="FFFFFF"/>
        <w:spacing w:after="0" w:line="276" w:lineRule="auto"/>
        <w:ind w:firstLine="720"/>
        <w:jc w:val="both"/>
        <w:rPr>
          <w:rFonts w:ascii="Times New Roman" w:eastAsia="Times New Roman" w:hAnsi="Times New Roman" w:cs="Times New Roman"/>
        </w:rPr>
      </w:pPr>
    </w:p>
    <w:p w14:paraId="1864DF35" w14:textId="3C6375B8" w:rsidR="009D5E15" w:rsidRPr="008A6DBE" w:rsidRDefault="00F00620" w:rsidP="001D1B8C">
      <w:pPr>
        <w:shd w:val="clear" w:color="auto" w:fill="FFFFFF"/>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Appellant, Martinez has petitioned for transfer of the </w:t>
      </w:r>
      <w:r w:rsidRPr="00AA42CB">
        <w:rPr>
          <w:rFonts w:ascii="Times New Roman" w:eastAsia="Times New Roman" w:hAnsi="Times New Roman" w:cs="Times New Roman"/>
          <w:i/>
          <w:iCs/>
        </w:rPr>
        <w:t xml:space="preserve">Martinez </w:t>
      </w:r>
      <w:r>
        <w:rPr>
          <w:rFonts w:ascii="Times New Roman" w:eastAsia="Times New Roman" w:hAnsi="Times New Roman" w:cs="Times New Roman"/>
        </w:rPr>
        <w:t xml:space="preserve">decision to the Indiana Supreme Court.  We hope that the Indiana Supreme Court will accept transfer of the case, and provide </w:t>
      </w:r>
      <w:r w:rsidR="009D5E15" w:rsidRPr="008A6DBE">
        <w:rPr>
          <w:rFonts w:ascii="Times New Roman" w:eastAsia="Times New Roman" w:hAnsi="Times New Roman" w:cs="Times New Roman"/>
        </w:rPr>
        <w:t>further guidance on this issue</w:t>
      </w:r>
      <w:r w:rsidR="00AA42CB">
        <w:rPr>
          <w:rFonts w:ascii="Times New Roman" w:eastAsia="Times New Roman" w:hAnsi="Times New Roman" w:cs="Times New Roman"/>
        </w:rPr>
        <w:t xml:space="preserve">, as </w:t>
      </w:r>
      <w:r w:rsidR="00AA42CB">
        <w:rPr>
          <w:rFonts w:ascii="Times New Roman" w:eastAsia="Times New Roman" w:hAnsi="Times New Roman" w:cs="Times New Roman"/>
        </w:rPr>
        <w:t>this issue</w:t>
      </w:r>
      <w:r w:rsidR="00AA42CB">
        <w:rPr>
          <w:rFonts w:ascii="Times New Roman" w:eastAsia="Times New Roman" w:hAnsi="Times New Roman" w:cs="Times New Roman"/>
        </w:rPr>
        <w:t xml:space="preserve"> </w:t>
      </w:r>
      <w:r w:rsidR="00AA42CB">
        <w:rPr>
          <w:rFonts w:ascii="Times New Roman" w:eastAsia="Times New Roman" w:hAnsi="Times New Roman" w:cs="Times New Roman"/>
        </w:rPr>
        <w:t>could potentially alter</w:t>
      </w:r>
      <w:r w:rsidR="00AA42CB">
        <w:rPr>
          <w:rFonts w:ascii="Times New Roman" w:eastAsia="Times New Roman" w:hAnsi="Times New Roman" w:cs="Times New Roman"/>
        </w:rPr>
        <w:t xml:space="preserve"> the way sexual abuse cases proceed against health care providers in Indiana. </w:t>
      </w:r>
    </w:p>
    <w:p w14:paraId="70D3B73D" w14:textId="77777777" w:rsidR="009D5E15" w:rsidRPr="008A6DBE" w:rsidRDefault="009D5E15" w:rsidP="001D1B8C">
      <w:pPr>
        <w:pStyle w:val="ListParagraph"/>
        <w:shd w:val="clear" w:color="auto" w:fill="FFFFFF"/>
        <w:spacing w:after="0" w:line="276" w:lineRule="auto"/>
        <w:ind w:left="1080"/>
        <w:jc w:val="both"/>
        <w:rPr>
          <w:rFonts w:ascii="Times New Roman" w:eastAsia="Times New Roman" w:hAnsi="Times New Roman" w:cs="Times New Roman"/>
          <w:color w:val="000000"/>
        </w:rPr>
      </w:pPr>
    </w:p>
    <w:p w14:paraId="247698C9" w14:textId="77777777" w:rsidR="009D5E15" w:rsidRPr="008A6DBE" w:rsidRDefault="009D5E15" w:rsidP="001D1B8C">
      <w:pPr>
        <w:spacing w:line="276" w:lineRule="auto"/>
        <w:rPr>
          <w:rFonts w:ascii="Times New Roman" w:hAnsi="Times New Roman" w:cs="Times New Roman"/>
        </w:rPr>
      </w:pPr>
    </w:p>
    <w:bookmarkEnd w:id="0"/>
    <w:p w14:paraId="1CB03C08" w14:textId="77777777" w:rsidR="00E91441" w:rsidRPr="001D1B8C" w:rsidRDefault="00E91441" w:rsidP="001D1B8C">
      <w:pPr>
        <w:spacing w:line="276" w:lineRule="auto"/>
        <w:rPr>
          <w:rFonts w:ascii="Times New Roman" w:hAnsi="Times New Roman" w:cs="Times New Roman"/>
        </w:rPr>
      </w:pPr>
    </w:p>
    <w:sectPr w:rsidR="00E91441" w:rsidRPr="001D1B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F656" w14:textId="77777777" w:rsidR="00B27716" w:rsidRDefault="00B27716" w:rsidP="00E044DC">
      <w:pPr>
        <w:spacing w:after="0" w:line="240" w:lineRule="auto"/>
      </w:pPr>
      <w:r>
        <w:separator/>
      </w:r>
    </w:p>
  </w:endnote>
  <w:endnote w:type="continuationSeparator" w:id="0">
    <w:p w14:paraId="5ABE300E" w14:textId="77777777" w:rsidR="00B27716" w:rsidRDefault="00B27716" w:rsidP="00E0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016322"/>
      <w:docPartObj>
        <w:docPartGallery w:val="Page Numbers (Bottom of Page)"/>
        <w:docPartUnique/>
      </w:docPartObj>
    </w:sdtPr>
    <w:sdtEndPr>
      <w:rPr>
        <w:noProof/>
      </w:rPr>
    </w:sdtEndPr>
    <w:sdtContent>
      <w:p w14:paraId="08BA4887" w14:textId="749BE98D" w:rsidR="003F669F" w:rsidRDefault="003F6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45616" w14:textId="77777777" w:rsidR="003F669F" w:rsidRDefault="003F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794F" w14:textId="77777777" w:rsidR="00B27716" w:rsidRDefault="00B27716" w:rsidP="00E044DC">
      <w:pPr>
        <w:spacing w:after="0" w:line="240" w:lineRule="auto"/>
      </w:pPr>
      <w:r>
        <w:separator/>
      </w:r>
    </w:p>
  </w:footnote>
  <w:footnote w:type="continuationSeparator" w:id="0">
    <w:p w14:paraId="220552CE" w14:textId="77777777" w:rsidR="00B27716" w:rsidRDefault="00B27716" w:rsidP="00E04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4BE"/>
    <w:multiLevelType w:val="hybridMultilevel"/>
    <w:tmpl w:val="F4BC6EA8"/>
    <w:lvl w:ilvl="0" w:tplc="86480E18">
      <w:start w:val="1"/>
      <w:numFmt w:val="upperRoman"/>
      <w:lvlText w:val="%1."/>
      <w:lvlJc w:val="left"/>
      <w:pPr>
        <w:ind w:left="810" w:hanging="720"/>
      </w:pPr>
      <w:rPr>
        <w:rFonts w:hint="default"/>
        <w:i w:val="0"/>
        <w:iCs w:val="0"/>
      </w:rPr>
    </w:lvl>
    <w:lvl w:ilvl="1" w:tplc="C5D07022">
      <w:start w:val="1"/>
      <w:numFmt w:val="upp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10C7A"/>
    <w:multiLevelType w:val="hybridMultilevel"/>
    <w:tmpl w:val="7CA894CA"/>
    <w:lvl w:ilvl="0" w:tplc="0DCCC3C2">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41"/>
    <w:rsid w:val="0002051F"/>
    <w:rsid w:val="00021544"/>
    <w:rsid w:val="00143979"/>
    <w:rsid w:val="001B3723"/>
    <w:rsid w:val="001D0030"/>
    <w:rsid w:val="001D1B8C"/>
    <w:rsid w:val="001F5AA4"/>
    <w:rsid w:val="0024024D"/>
    <w:rsid w:val="002407EE"/>
    <w:rsid w:val="002827A7"/>
    <w:rsid w:val="002920AE"/>
    <w:rsid w:val="0029542E"/>
    <w:rsid w:val="003C0233"/>
    <w:rsid w:val="003F669F"/>
    <w:rsid w:val="00403587"/>
    <w:rsid w:val="00405C85"/>
    <w:rsid w:val="004C5B0D"/>
    <w:rsid w:val="005164D9"/>
    <w:rsid w:val="00525951"/>
    <w:rsid w:val="0057306C"/>
    <w:rsid w:val="005940E1"/>
    <w:rsid w:val="005C4C7A"/>
    <w:rsid w:val="005C515B"/>
    <w:rsid w:val="006128B3"/>
    <w:rsid w:val="006176C2"/>
    <w:rsid w:val="006817E5"/>
    <w:rsid w:val="006A76D4"/>
    <w:rsid w:val="006B6134"/>
    <w:rsid w:val="00703CDC"/>
    <w:rsid w:val="007F4A16"/>
    <w:rsid w:val="00817653"/>
    <w:rsid w:val="008862A9"/>
    <w:rsid w:val="008A6DBE"/>
    <w:rsid w:val="008F41B4"/>
    <w:rsid w:val="00975B51"/>
    <w:rsid w:val="009A7BBD"/>
    <w:rsid w:val="009D5E15"/>
    <w:rsid w:val="00A0150B"/>
    <w:rsid w:val="00A10174"/>
    <w:rsid w:val="00A27D25"/>
    <w:rsid w:val="00AA3621"/>
    <w:rsid w:val="00AA42CB"/>
    <w:rsid w:val="00AA4EA0"/>
    <w:rsid w:val="00AB0DBE"/>
    <w:rsid w:val="00B13C2C"/>
    <w:rsid w:val="00B27716"/>
    <w:rsid w:val="00BD4B09"/>
    <w:rsid w:val="00C60CDA"/>
    <w:rsid w:val="00DE3D63"/>
    <w:rsid w:val="00E044DC"/>
    <w:rsid w:val="00E119FF"/>
    <w:rsid w:val="00E542CC"/>
    <w:rsid w:val="00E67421"/>
    <w:rsid w:val="00E91441"/>
    <w:rsid w:val="00EB4751"/>
    <w:rsid w:val="00EF4E9F"/>
    <w:rsid w:val="00F00620"/>
    <w:rsid w:val="00F5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D83"/>
  <w15:chartTrackingRefBased/>
  <w15:docId w15:val="{FC03F42E-F43B-41A0-BDE2-95C11ED9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41"/>
    <w:rPr>
      <w:color w:val="0563C1" w:themeColor="hyperlink"/>
      <w:u w:val="single"/>
    </w:rPr>
  </w:style>
  <w:style w:type="character" w:styleId="UnresolvedMention">
    <w:name w:val="Unresolved Mention"/>
    <w:basedOn w:val="DefaultParagraphFont"/>
    <w:uiPriority w:val="99"/>
    <w:semiHidden/>
    <w:unhideWhenUsed/>
    <w:rsid w:val="00E91441"/>
    <w:rPr>
      <w:color w:val="605E5C"/>
      <w:shd w:val="clear" w:color="auto" w:fill="E1DFDD"/>
    </w:rPr>
  </w:style>
  <w:style w:type="paragraph" w:styleId="ListParagraph">
    <w:name w:val="List Paragraph"/>
    <w:basedOn w:val="Normal"/>
    <w:uiPriority w:val="34"/>
    <w:qFormat/>
    <w:rsid w:val="00E91441"/>
    <w:pPr>
      <w:ind w:left="720"/>
      <w:contextualSpacing/>
    </w:pPr>
  </w:style>
  <w:style w:type="paragraph" w:customStyle="1" w:styleId="BlockQuote">
    <w:name w:val="Block Quote"/>
    <w:basedOn w:val="Normal"/>
    <w:link w:val="BlockQuoteChar"/>
    <w:qFormat/>
    <w:rsid w:val="009D5E15"/>
    <w:pPr>
      <w:shd w:val="clear" w:color="auto" w:fill="FFFFFF"/>
      <w:spacing w:after="0" w:line="240" w:lineRule="auto"/>
      <w:ind w:left="720" w:right="720"/>
      <w:jc w:val="both"/>
    </w:pPr>
    <w:rPr>
      <w:rFonts w:eastAsia="Times New Roman" w:cstheme="minorHAnsi"/>
      <w:color w:val="000000"/>
    </w:rPr>
  </w:style>
  <w:style w:type="character" w:customStyle="1" w:styleId="BlockQuoteChar">
    <w:name w:val="Block Quote Char"/>
    <w:basedOn w:val="DefaultParagraphFont"/>
    <w:link w:val="BlockQuote"/>
    <w:rsid w:val="009D5E15"/>
    <w:rPr>
      <w:rFonts w:eastAsia="Times New Roman" w:cstheme="minorHAnsi"/>
      <w:color w:val="000000"/>
      <w:shd w:val="clear" w:color="auto" w:fill="FFFFFF"/>
    </w:rPr>
  </w:style>
  <w:style w:type="paragraph" w:styleId="NormalWeb">
    <w:name w:val="Normal (Web)"/>
    <w:basedOn w:val="Normal"/>
    <w:uiPriority w:val="99"/>
    <w:unhideWhenUsed/>
    <w:rsid w:val="009D5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DefaultParagraphFont"/>
    <w:rsid w:val="009D5E15"/>
  </w:style>
  <w:style w:type="paragraph" w:styleId="Header">
    <w:name w:val="header"/>
    <w:basedOn w:val="Normal"/>
    <w:link w:val="HeaderChar"/>
    <w:uiPriority w:val="99"/>
    <w:unhideWhenUsed/>
    <w:rsid w:val="00E0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DC"/>
  </w:style>
  <w:style w:type="paragraph" w:styleId="Footer">
    <w:name w:val="footer"/>
    <w:basedOn w:val="Normal"/>
    <w:link w:val="FooterChar"/>
    <w:uiPriority w:val="99"/>
    <w:unhideWhenUsed/>
    <w:rsid w:val="00E0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DC"/>
  </w:style>
  <w:style w:type="paragraph" w:styleId="FootnoteText">
    <w:name w:val="footnote text"/>
    <w:basedOn w:val="Normal"/>
    <w:link w:val="FootnoteTextChar"/>
    <w:uiPriority w:val="99"/>
    <w:unhideWhenUsed/>
    <w:rsid w:val="00A10174"/>
    <w:pPr>
      <w:spacing w:after="0" w:line="240" w:lineRule="auto"/>
    </w:pPr>
    <w:rPr>
      <w:sz w:val="20"/>
      <w:szCs w:val="20"/>
    </w:rPr>
  </w:style>
  <w:style w:type="character" w:customStyle="1" w:styleId="FootnoteTextChar">
    <w:name w:val="Footnote Text Char"/>
    <w:basedOn w:val="DefaultParagraphFont"/>
    <w:link w:val="FootnoteText"/>
    <w:uiPriority w:val="99"/>
    <w:rsid w:val="00A10174"/>
    <w:rPr>
      <w:sz w:val="20"/>
      <w:szCs w:val="20"/>
    </w:rPr>
  </w:style>
  <w:style w:type="character" w:styleId="FootnoteReference">
    <w:name w:val="footnote reference"/>
    <w:basedOn w:val="DefaultParagraphFont"/>
    <w:uiPriority w:val="99"/>
    <w:semiHidden/>
    <w:unhideWhenUsed/>
    <w:rsid w:val="00A10174"/>
    <w:rPr>
      <w:vertAlign w:val="superscript"/>
    </w:rPr>
  </w:style>
  <w:style w:type="character" w:styleId="Emphasis">
    <w:name w:val="Emphasis"/>
    <w:basedOn w:val="DefaultParagraphFont"/>
    <w:uiPriority w:val="20"/>
    <w:qFormat/>
    <w:rsid w:val="008F41B4"/>
    <w:rPr>
      <w:i/>
      <w:iCs/>
    </w:rPr>
  </w:style>
  <w:style w:type="paragraph" w:styleId="BalloonText">
    <w:name w:val="Balloon Text"/>
    <w:basedOn w:val="Normal"/>
    <w:link w:val="BalloonTextChar"/>
    <w:uiPriority w:val="99"/>
    <w:semiHidden/>
    <w:unhideWhenUsed/>
    <w:rsid w:val="0057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ker@cohenandmala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rrell@cohenandmalad.com" TargetMode="External"/><Relationship Id="rId4" Type="http://schemas.openxmlformats.org/officeDocument/2006/relationships/settings" Target="settings.xml"/><Relationship Id="rId9" Type="http://schemas.openxmlformats.org/officeDocument/2006/relationships/hyperlink" Target="mailto:dchamberlain@cohenandmal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D8F3-A004-4AB1-B8DF-3C9CEF42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 Thomas</dc:creator>
  <cp:keywords/>
  <dc:description/>
  <cp:lastModifiedBy>Amina A. Thomas</cp:lastModifiedBy>
  <cp:revision>3</cp:revision>
  <dcterms:created xsi:type="dcterms:W3CDTF">2019-10-31T15:34:00Z</dcterms:created>
  <dcterms:modified xsi:type="dcterms:W3CDTF">2019-10-31T15:35:00Z</dcterms:modified>
</cp:coreProperties>
</file>