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4102" w14:textId="02663E12" w:rsidR="006213CC" w:rsidRPr="002B1A9B" w:rsidRDefault="002B1A9B" w:rsidP="002B1A9B">
      <w:pPr>
        <w:autoSpaceDE w:val="0"/>
        <w:autoSpaceDN w:val="0"/>
        <w:adjustRightInd w:val="0"/>
        <w:spacing w:line="240" w:lineRule="auto"/>
        <w:ind w:firstLine="720"/>
        <w:rPr>
          <w:rFonts w:ascii="Palatino Linotype" w:eastAsiaTheme="minorHAnsi" w:hAnsi="Palatino Linotype"/>
          <w:sz w:val="24"/>
          <w:szCs w:val="24"/>
        </w:rPr>
      </w:pPr>
      <w:r w:rsidRPr="002B1A9B">
        <w:rPr>
          <w:rStyle w:val="ssrfcpassagedeactivated"/>
          <w:rFonts w:ascii="Palatino Linotype" w:hAnsi="Palatino Linotype"/>
          <w:sz w:val="24"/>
          <w:szCs w:val="24"/>
        </w:rPr>
        <w:t xml:space="preserve"> </w:t>
      </w:r>
      <w:r w:rsidRPr="002B1A9B">
        <w:rPr>
          <w:rFonts w:ascii="Palatino Linotype" w:hAnsi="Palatino Linotype"/>
          <w:sz w:val="24"/>
          <w:szCs w:val="24"/>
        </w:rPr>
        <w:t>As for discovery of deposition transcripts from other cases, “[a]</w:t>
      </w:r>
      <w:proofErr w:type="spellStart"/>
      <w:r w:rsidRPr="002B1A9B">
        <w:rPr>
          <w:rStyle w:val="ssrfcpassagedeactivated"/>
          <w:rFonts w:ascii="Palatino Linotype" w:hAnsi="Palatino Linotype"/>
          <w:sz w:val="24"/>
          <w:szCs w:val="24"/>
        </w:rPr>
        <w:t>llowing</w:t>
      </w:r>
      <w:proofErr w:type="spellEnd"/>
      <w:r w:rsidRPr="002B1A9B">
        <w:rPr>
          <w:rStyle w:val="ssrfcpassagedeactivated"/>
          <w:rFonts w:ascii="Palatino Linotype" w:hAnsi="Palatino Linotype"/>
          <w:sz w:val="24"/>
          <w:szCs w:val="24"/>
        </w:rPr>
        <w:t xml:space="preserve"> the fruits of one litigation to facilitate preparation in other cases advances the interests of judicial economy by avoiding the wasteful duplication of discovery.”  </w:t>
      </w:r>
      <w:r w:rsidRPr="002B1A9B">
        <w:rPr>
          <w:rStyle w:val="ssrfcpassagedeactivated"/>
          <w:rFonts w:ascii="Palatino Linotype" w:hAnsi="Palatino Linotype"/>
          <w:i/>
          <w:sz w:val="24"/>
          <w:szCs w:val="24"/>
        </w:rPr>
        <w:t>Foltz v. State Farm Mut. Auto. Ins. Co.</w:t>
      </w:r>
      <w:r w:rsidRPr="002B1A9B">
        <w:rPr>
          <w:rStyle w:val="ssrfcpassagedeactivated"/>
          <w:rFonts w:ascii="Palatino Linotype" w:hAnsi="Palatino Linotype"/>
          <w:sz w:val="24"/>
          <w:szCs w:val="24"/>
        </w:rPr>
        <w:t>, 331 F.3d 1122, 1132 (9</w:t>
      </w:r>
      <w:r w:rsidRPr="002B1A9B">
        <w:rPr>
          <w:rStyle w:val="ssrfcpassagedeactivated"/>
          <w:rFonts w:ascii="Palatino Linotype" w:hAnsi="Palatino Linotype"/>
          <w:sz w:val="24"/>
          <w:szCs w:val="24"/>
          <w:vertAlign w:val="superscript"/>
        </w:rPr>
        <w:t>th</w:t>
      </w:r>
      <w:r w:rsidRPr="002B1A9B">
        <w:rPr>
          <w:rStyle w:val="ssrfcpassagedeactivated"/>
          <w:rFonts w:ascii="Palatino Linotype" w:hAnsi="Palatino Linotype"/>
          <w:sz w:val="24"/>
          <w:szCs w:val="24"/>
        </w:rPr>
        <w:t xml:space="preserve"> Cir. 2003) (allowing intervention in closed case to modify protective order to permit discovery of deposition transcripts by litigants in another case)</w:t>
      </w:r>
      <w:r w:rsidRPr="002B1A9B">
        <w:rPr>
          <w:rStyle w:val="ssrfcpassagedeactivated"/>
          <w:rFonts w:ascii="Palatino Linotype" w:hAnsi="Palatino Linotype"/>
          <w:sz w:val="24"/>
          <w:szCs w:val="24"/>
        </w:rPr>
        <w:t xml:space="preserve">.  </w:t>
      </w:r>
      <w:r w:rsidRPr="002B1A9B">
        <w:rPr>
          <w:rStyle w:val="ssrfcpassagedeactivated"/>
          <w:rFonts w:ascii="Palatino Linotype" w:hAnsi="Palatino Linotype"/>
          <w:i/>
          <w:sz w:val="24"/>
          <w:szCs w:val="24"/>
        </w:rPr>
        <w:t xml:space="preserve">See also </w:t>
      </w:r>
      <w:r w:rsidRPr="002B1A9B">
        <w:rPr>
          <w:rFonts w:ascii="Palatino Linotype" w:hAnsi="Palatino Linotype"/>
          <w:i/>
          <w:sz w:val="24"/>
          <w:szCs w:val="24"/>
        </w:rPr>
        <w:t>In re Intuitive Surgical Sec. Litig.</w:t>
      </w:r>
      <w:r w:rsidRPr="002B1A9B">
        <w:rPr>
          <w:rFonts w:ascii="Palatino Linotype" w:hAnsi="Palatino Linotype"/>
          <w:sz w:val="24"/>
          <w:szCs w:val="24"/>
        </w:rPr>
        <w:t>, 2016 U.S. Dist. LEXIS 132699, Case No. 5:13-cv-01920 EJD (HRL) (D. N. Cal. 2016)</w:t>
      </w:r>
      <w:r w:rsidRPr="002B1A9B">
        <w:rPr>
          <w:rFonts w:ascii="Palatino Linotype" w:hAnsi="Palatino Linotype"/>
          <w:sz w:val="24"/>
          <w:szCs w:val="24"/>
        </w:rPr>
        <w:t xml:space="preserve"> (</w:t>
      </w:r>
      <w:r w:rsidR="001138A2" w:rsidRPr="002B1A9B">
        <w:rPr>
          <w:rStyle w:val="ssrfcpassagedeactivated"/>
          <w:rFonts w:ascii="Palatino Linotype" w:hAnsi="Palatino Linotype"/>
          <w:sz w:val="24"/>
          <w:szCs w:val="24"/>
        </w:rPr>
        <w:t xml:space="preserve">“Courts have ordered production of deposition transcripts in litigation </w:t>
      </w:r>
      <w:r w:rsidRPr="002B1A9B">
        <w:rPr>
          <w:rStyle w:val="ssrfcpassagedeactivated"/>
          <w:rFonts w:ascii="Palatino Linotype" w:hAnsi="Palatino Linotype"/>
          <w:sz w:val="24"/>
          <w:szCs w:val="24"/>
        </w:rPr>
        <w:t>i</w:t>
      </w:r>
      <w:r w:rsidR="001138A2" w:rsidRPr="002B1A9B">
        <w:rPr>
          <w:rStyle w:val="ssrfcpassagedeactivated"/>
          <w:rFonts w:ascii="Palatino Linotype" w:hAnsi="Palatino Linotype"/>
          <w:sz w:val="24"/>
          <w:szCs w:val="24"/>
        </w:rPr>
        <w:t>nvolving</w:t>
      </w:r>
      <w:bookmarkStart w:id="0" w:name="PAGE_1293"/>
      <w:r w:rsidRPr="002B1A9B">
        <w:rPr>
          <w:rStyle w:val="ssrfcpassagedeactivated"/>
          <w:rFonts w:ascii="Palatino Linotype" w:hAnsi="Palatino Linotype"/>
          <w:sz w:val="24"/>
          <w:szCs w:val="24"/>
        </w:rPr>
        <w:t xml:space="preserve"> </w:t>
      </w:r>
      <w:bookmarkEnd w:id="0"/>
      <w:r w:rsidR="001138A2" w:rsidRPr="002B1A9B">
        <w:rPr>
          <w:rStyle w:val="ssrfcpassagedeactivated"/>
          <w:rFonts w:ascii="Palatino Linotype" w:hAnsi="Palatino Linotype"/>
          <w:sz w:val="24"/>
          <w:szCs w:val="24"/>
        </w:rPr>
        <w:t>substantially similar claims and issues.”</w:t>
      </w:r>
      <w:r w:rsidRPr="002B1A9B">
        <w:rPr>
          <w:rStyle w:val="ssrfcpassagedeactivated"/>
          <w:rFonts w:ascii="Palatino Linotype" w:hAnsi="Palatino Linotype"/>
          <w:sz w:val="24"/>
          <w:szCs w:val="24"/>
        </w:rPr>
        <w:t xml:space="preserve">);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Carter-Wallace, Inc. v.</w:t>
      </w:r>
      <w:r w:rsidR="001138A2" w:rsidRPr="002B1A9B">
        <w:rPr>
          <w:rFonts w:ascii="Palatino Linotype" w:eastAsiaTheme="minorHAnsi" w:hAnsi="Palatino Linotype"/>
          <w:i/>
          <w:iCs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Hartz Mountain Indus., Inc.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, 92 F.R.D. 67, 70 (S.D.N.Y. 1981) (ordering production of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deposition transcripts in related action that “involved substantially similar allegations” that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“occurred during overlapping periods of time” in antitrust case);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 xml:space="preserve">Apple Inc. v. Samsung </w:t>
      </w:r>
      <w:proofErr w:type="spellStart"/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Elecs</w:t>
      </w:r>
      <w:proofErr w:type="spellEnd"/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.</w:t>
      </w:r>
      <w:r w:rsidR="001138A2" w:rsidRPr="002B1A9B">
        <w:rPr>
          <w:rFonts w:ascii="Palatino Linotype" w:eastAsiaTheme="minorHAnsi" w:hAnsi="Palatino Linotype"/>
          <w:i/>
          <w:iCs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Co.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, 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No. C11-1846 LHK (PSG),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2012 WL 1232267, at *5 (N.D. Cal. Apr. 12, 2012),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order clarified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, 2012 WL 2862613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(N.D. Cal. July 11, 2012) (granting motion to compel deposition transcripts of Apple employees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from actions bearing a technological “nexus” to the litigation)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. 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See also Transamerica Life Ins. Co. v. Moore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, 274 F.R.D. 602, 608 (E.D. Ky. 2011) (ordering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production of “deposition transcripts taken in actions involving similar claims and policies [as]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[t]</w:t>
      </w:r>
      <w:proofErr w:type="spellStart"/>
      <w:r w:rsidR="006213CC" w:rsidRPr="002B1A9B">
        <w:rPr>
          <w:rFonts w:ascii="Palatino Linotype" w:eastAsiaTheme="minorHAnsi" w:hAnsi="Palatino Linotype"/>
          <w:sz w:val="24"/>
          <w:szCs w:val="24"/>
        </w:rPr>
        <w:t>hese</w:t>
      </w:r>
      <w:proofErr w:type="spellEnd"/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 transcripts” of depositions were given “in substantially similar litigation and discuss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substantially similar insurance policies.”);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Waters v. Earthlink, Inc.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,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No. 01-11887-REK,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2004 WL 6000237, at *3 (D.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Mass. Dec. 1, 2004) 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concluding that the plaintiff met the “low relevance standard” for discovery </w:t>
      </w:r>
      <w:r w:rsidRPr="002B1A9B">
        <w:rPr>
          <w:rStyle w:val="ssrfcpassagedeactivated"/>
          <w:rFonts w:ascii="Palatino Linotype" w:hAnsi="Palatino Linotype"/>
          <w:sz w:val="24"/>
          <w:szCs w:val="24"/>
        </w:rPr>
        <w:t>of deposition transcripts from "a case involving similar claims and facts to the case at bar.")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; </w:t>
      </w:r>
      <w:proofErr w:type="spellStart"/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Lillibridge</w:t>
      </w:r>
      <w:proofErr w:type="spellEnd"/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 xml:space="preserve"> v. Nautilus Ins.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, 2013 WL 1896825, at *8 (D.S.D. May 3,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2013) (motion to compel production of prior deposition transcripts for certain specified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employees granted where claims were of a similar nature).</w:t>
      </w:r>
      <w:r w:rsidRPr="002B1A9B">
        <w:rPr>
          <w:rFonts w:ascii="Palatino Linotype" w:eastAsiaTheme="minorHAnsi" w:hAnsi="Palatino Linotype"/>
          <w:sz w:val="24"/>
          <w:szCs w:val="24"/>
        </w:rPr>
        <w:t xml:space="preserve">  </w:t>
      </w:r>
      <w:r w:rsidRPr="002B1A9B">
        <w:rPr>
          <w:rFonts w:ascii="Palatino Linotype" w:eastAsiaTheme="minorHAnsi" w:hAnsi="Palatino Linotype"/>
          <w:i/>
          <w:sz w:val="24"/>
          <w:szCs w:val="24"/>
        </w:rPr>
        <w:t xml:space="preserve">See also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>Murphy v. Cooper Tire &amp; Rubber Co.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,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>2008 WL 5273548 (N.D. Fla. Dec. 18, 2008)</w:t>
      </w:r>
      <w:r w:rsidR="001138A2" w:rsidRPr="002B1A9B">
        <w:rPr>
          <w:rFonts w:ascii="Palatino Linotype" w:eastAsiaTheme="minorHAnsi" w:hAnsi="Palatino Linotype"/>
          <w:sz w:val="24"/>
          <w:szCs w:val="24"/>
        </w:rPr>
        <w:t xml:space="preserve"> (ordering depositions produced where request was</w:t>
      </w:r>
      <w:r w:rsidR="00DB3853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limited to depositions concerning a </w:t>
      </w:r>
      <w:proofErr w:type="gramStart"/>
      <w:r w:rsidR="006213CC" w:rsidRPr="002B1A9B">
        <w:rPr>
          <w:rFonts w:ascii="Palatino Linotype" w:eastAsiaTheme="minorHAnsi" w:hAnsi="Palatino Linotype"/>
          <w:sz w:val="24"/>
          <w:szCs w:val="24"/>
        </w:rPr>
        <w:t>particular product</w:t>
      </w:r>
      <w:proofErr w:type="gramEnd"/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 produced at a particular plant during a</w:t>
      </w:r>
      <w:r w:rsidR="00DB3853" w:rsidRPr="002B1A9B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particular time period. </w:t>
      </w:r>
      <w:r w:rsidR="006213CC" w:rsidRPr="002B1A9B">
        <w:rPr>
          <w:rFonts w:ascii="Palatino Linotype" w:eastAsiaTheme="minorHAnsi" w:hAnsi="Palatino Linotype"/>
          <w:i/>
          <w:iCs/>
          <w:sz w:val="24"/>
          <w:szCs w:val="24"/>
        </w:rPr>
        <w:t xml:space="preserve">Id. </w:t>
      </w:r>
      <w:r w:rsidR="006213CC" w:rsidRPr="002B1A9B">
        <w:rPr>
          <w:rFonts w:ascii="Palatino Linotype" w:eastAsiaTheme="minorHAnsi" w:hAnsi="Palatino Linotype"/>
          <w:sz w:val="24"/>
          <w:szCs w:val="24"/>
        </w:rPr>
        <w:t xml:space="preserve">at *5. </w:t>
      </w:r>
    </w:p>
    <w:p w14:paraId="20DB4F0F" w14:textId="1BED1520" w:rsidR="006213CC" w:rsidRPr="002B1A9B" w:rsidRDefault="006213CC" w:rsidP="002023C1">
      <w:pPr>
        <w:autoSpaceDE w:val="0"/>
        <w:autoSpaceDN w:val="0"/>
        <w:spacing w:line="240" w:lineRule="auto"/>
        <w:ind w:firstLine="720"/>
        <w:rPr>
          <w:rFonts w:ascii="Palatino Linotype" w:hAnsi="Palatino Linotype"/>
          <w:color w:val="000000"/>
          <w:sz w:val="24"/>
          <w:szCs w:val="24"/>
        </w:rPr>
      </w:pPr>
      <w:r w:rsidRPr="002B1A9B">
        <w:rPr>
          <w:rFonts w:ascii="Palatino Linotype" w:hAnsi="Palatino Linotype"/>
          <w:color w:val="000000"/>
          <w:sz w:val="24"/>
          <w:szCs w:val="24"/>
        </w:rPr>
        <w:t>T</w:t>
      </w:r>
      <w:r w:rsidRPr="002B1A9B">
        <w:rPr>
          <w:rFonts w:ascii="Palatino Linotype" w:hAnsi="Palatino Linotype"/>
          <w:color w:val="000000"/>
          <w:sz w:val="24"/>
          <w:szCs w:val="24"/>
        </w:rPr>
        <w:t xml:space="preserve">o the extent </w:t>
      </w:r>
      <w:r w:rsidRPr="002B1A9B">
        <w:rPr>
          <w:rFonts w:ascii="Palatino Linotype" w:hAnsi="Palatino Linotype"/>
          <w:color w:val="000000"/>
          <w:sz w:val="24"/>
          <w:szCs w:val="24"/>
        </w:rPr>
        <w:t>Defendant</w:t>
      </w:r>
      <w:r w:rsidRPr="002B1A9B">
        <w:rPr>
          <w:rFonts w:ascii="Palatino Linotype" w:hAnsi="Palatino Linotype"/>
          <w:color w:val="000000"/>
          <w:sz w:val="24"/>
          <w:szCs w:val="24"/>
        </w:rPr>
        <w:t xml:space="preserve"> objects to any request </w:t>
      </w:r>
      <w:proofErr w:type="gramStart"/>
      <w:r w:rsidRPr="002B1A9B">
        <w:rPr>
          <w:rFonts w:ascii="Palatino Linotype" w:hAnsi="Palatino Linotype"/>
          <w:color w:val="000000"/>
          <w:sz w:val="24"/>
          <w:szCs w:val="24"/>
        </w:rPr>
        <w:t>for the production of</w:t>
      </w:r>
      <w:proofErr w:type="gramEnd"/>
      <w:r w:rsidRPr="002B1A9B">
        <w:rPr>
          <w:rFonts w:ascii="Palatino Linotype" w:hAnsi="Palatino Linotype"/>
          <w:color w:val="000000"/>
          <w:sz w:val="24"/>
          <w:szCs w:val="24"/>
        </w:rPr>
        <w:t xml:space="preserve"> documents on the grounds that confidentiality agreement(s) preclude production,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>its objection is misplaced</w:t>
      </w:r>
      <w:r w:rsidR="002B1A9B" w:rsidRPr="002B1A9B">
        <w:rPr>
          <w:rFonts w:ascii="Palatino Linotype" w:hAnsi="Palatino Linotype"/>
          <w:color w:val="000000"/>
          <w:sz w:val="24"/>
          <w:szCs w:val="24"/>
        </w:rPr>
        <w:t xml:space="preserve"> -- s</w:t>
      </w:r>
      <w:r w:rsidRPr="002B1A9B">
        <w:rPr>
          <w:rFonts w:ascii="Palatino Linotype" w:hAnsi="Palatino Linotype"/>
          <w:color w:val="000000"/>
          <w:sz w:val="24"/>
          <w:szCs w:val="24"/>
        </w:rPr>
        <w:t>uch evidence is discoverable notwithstanding confidentiality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 xml:space="preserve">agreements. </w:t>
      </w:r>
      <w:r w:rsidR="002B1A9B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i/>
          <w:color w:val="000000"/>
          <w:sz w:val="24"/>
          <w:szCs w:val="24"/>
        </w:rPr>
        <w:t xml:space="preserve">In re Application of </w:t>
      </w:r>
      <w:proofErr w:type="spellStart"/>
      <w:r w:rsidRPr="002B1A9B">
        <w:rPr>
          <w:rFonts w:ascii="Palatino Linotype" w:hAnsi="Palatino Linotype"/>
          <w:i/>
          <w:color w:val="000000"/>
          <w:sz w:val="24"/>
          <w:szCs w:val="24"/>
        </w:rPr>
        <w:t>O'keeffe</w:t>
      </w:r>
      <w:proofErr w:type="spellEnd"/>
      <w:r w:rsidRPr="002B1A9B">
        <w:rPr>
          <w:rFonts w:ascii="Palatino Linotype" w:hAnsi="Palatino Linotype"/>
          <w:color w:val="000000"/>
          <w:sz w:val="24"/>
          <w:szCs w:val="24"/>
        </w:rPr>
        <w:t>, No. 214CV01518RFBCWH, 2016 WL 2771697, at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>*4 (D. Nev. Apr. 4, 2016) (stating, “[c]</w:t>
      </w:r>
      <w:proofErr w:type="spellStart"/>
      <w:r w:rsidRPr="002B1A9B">
        <w:rPr>
          <w:rFonts w:ascii="Palatino Linotype" w:hAnsi="Palatino Linotype"/>
          <w:color w:val="000000"/>
          <w:sz w:val="24"/>
          <w:szCs w:val="24"/>
        </w:rPr>
        <w:t>onfidentiality</w:t>
      </w:r>
      <w:proofErr w:type="spellEnd"/>
      <w:r w:rsidRPr="002B1A9B">
        <w:rPr>
          <w:rFonts w:ascii="Palatino Linotype" w:hAnsi="Palatino Linotype"/>
          <w:color w:val="000000"/>
          <w:sz w:val="24"/>
          <w:szCs w:val="24"/>
        </w:rPr>
        <w:t xml:space="preserve"> agreements do not bar discovery, and a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 xml:space="preserve">general interest in protecting confidentiality does not equate to privilege.”); </w:t>
      </w:r>
      <w:r w:rsidR="002B1A9B" w:rsidRPr="002B1A9B">
        <w:rPr>
          <w:rFonts w:ascii="Palatino Linotype" w:hAnsi="Palatino Linotype"/>
          <w:i/>
          <w:color w:val="000000"/>
          <w:sz w:val="24"/>
          <w:szCs w:val="24"/>
        </w:rPr>
        <w:t>s</w:t>
      </w:r>
      <w:r w:rsidRPr="002B1A9B">
        <w:rPr>
          <w:rFonts w:ascii="Palatino Linotype" w:hAnsi="Palatino Linotype"/>
          <w:i/>
          <w:color w:val="000000"/>
          <w:sz w:val="24"/>
          <w:szCs w:val="24"/>
        </w:rPr>
        <w:t>ee also Nat'l Union</w:t>
      </w:r>
      <w:r w:rsidR="00DB3853" w:rsidRPr="002B1A9B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i/>
          <w:color w:val="000000"/>
          <w:sz w:val="24"/>
          <w:szCs w:val="24"/>
        </w:rPr>
        <w:t>Fire Ins. Co. of Pittsburgh, PA v. Porter Hayden Co</w:t>
      </w:r>
      <w:r w:rsidRPr="002B1A9B">
        <w:rPr>
          <w:rFonts w:ascii="Palatino Linotype" w:hAnsi="Palatino Linotype"/>
          <w:color w:val="000000"/>
          <w:sz w:val="24"/>
          <w:szCs w:val="24"/>
        </w:rPr>
        <w:t>., No. CIV. CCB-03-3408, 2012 WL 628493,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>at *2 (D. Md. Feb. 24, 2012) (stating, “[t]here is no privilege for documents merely because they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>are subject to a confidentiality agreement, and confidentiality agreements do not necessarily bar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 xml:space="preserve">discovery that is otherwise permissible and relevant.”); </w:t>
      </w:r>
      <w:proofErr w:type="spellStart"/>
      <w:r w:rsidRPr="002B1A9B">
        <w:rPr>
          <w:rFonts w:ascii="Palatino Linotype" w:hAnsi="Palatino Linotype"/>
          <w:i/>
          <w:color w:val="000000"/>
          <w:sz w:val="24"/>
          <w:szCs w:val="24"/>
        </w:rPr>
        <w:t>Sonnino</w:t>
      </w:r>
      <w:proofErr w:type="spellEnd"/>
      <w:r w:rsidRPr="002B1A9B">
        <w:rPr>
          <w:rFonts w:ascii="Palatino Linotype" w:hAnsi="Palatino Linotype"/>
          <w:i/>
          <w:color w:val="000000"/>
          <w:sz w:val="24"/>
          <w:szCs w:val="24"/>
        </w:rPr>
        <w:t xml:space="preserve"> v. Univ. of Kansas Hosp. Auth</w:t>
      </w:r>
      <w:r w:rsidRPr="002B1A9B">
        <w:rPr>
          <w:rFonts w:ascii="Palatino Linotype" w:hAnsi="Palatino Linotype"/>
          <w:color w:val="000000"/>
          <w:sz w:val="24"/>
          <w:szCs w:val="24"/>
        </w:rPr>
        <w:t>.,</w:t>
      </w:r>
      <w:r w:rsidR="00DB3853" w:rsidRPr="002B1A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 xml:space="preserve">No. CIV.A.02-2576-KHV-DJ, 2004 WL 769325, at *3 (D. Kan. Apr. 8, 2004) </w:t>
      </w:r>
      <w:r w:rsidRPr="002B1A9B">
        <w:rPr>
          <w:rFonts w:ascii="Palatino Linotype" w:hAnsi="Palatino Linotype"/>
          <w:color w:val="212121"/>
          <w:sz w:val="24"/>
          <w:szCs w:val="24"/>
        </w:rPr>
        <w:t>(“Parties cannot</w:t>
      </w:r>
      <w:r w:rsidR="00DB3853" w:rsidRPr="002B1A9B">
        <w:rPr>
          <w:rFonts w:ascii="Palatino Linotype" w:hAnsi="Palatino Linotype"/>
          <w:color w:val="212121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212121"/>
          <w:sz w:val="24"/>
          <w:szCs w:val="24"/>
        </w:rPr>
        <w:t>create a privilege against civil discovery by mere written agreement” and “litigants cannot shield</w:t>
      </w:r>
      <w:r w:rsidR="002023C1">
        <w:rPr>
          <w:rFonts w:ascii="Palatino Linotype" w:hAnsi="Palatino Linotype"/>
          <w:color w:val="212121"/>
          <w:sz w:val="24"/>
          <w:szCs w:val="24"/>
        </w:rPr>
        <w:t xml:space="preserve"> </w:t>
      </w:r>
      <w:bookmarkStart w:id="1" w:name="_GoBack"/>
      <w:bookmarkEnd w:id="1"/>
      <w:r w:rsidRPr="002B1A9B">
        <w:rPr>
          <w:rFonts w:ascii="Palatino Linotype" w:hAnsi="Palatino Linotype"/>
          <w:color w:val="212121"/>
          <w:sz w:val="24"/>
          <w:szCs w:val="24"/>
        </w:rPr>
        <w:t xml:space="preserve">otherwise </w:t>
      </w:r>
      <w:r w:rsidRPr="002B1A9B">
        <w:rPr>
          <w:rFonts w:ascii="Palatino Linotype" w:hAnsi="Palatino Linotype"/>
          <w:color w:val="212121"/>
          <w:sz w:val="24"/>
          <w:szCs w:val="24"/>
        </w:rPr>
        <w:lastRenderedPageBreak/>
        <w:t>discoverable information from disclosure to others by agreeing to maintain its</w:t>
      </w:r>
      <w:r w:rsidR="009F103C">
        <w:rPr>
          <w:rFonts w:ascii="Palatino Linotype" w:hAnsi="Palatino Linotype"/>
          <w:color w:val="212121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212121"/>
          <w:sz w:val="24"/>
          <w:szCs w:val="24"/>
        </w:rPr>
        <w:t xml:space="preserve">confidentiality, and cannot modify the Federal Rules of Civil Procedure by agreement.”); </w:t>
      </w:r>
      <w:r w:rsidRPr="002B1A9B">
        <w:rPr>
          <w:rFonts w:ascii="Palatino Linotype" w:hAnsi="Palatino Linotype"/>
          <w:i/>
          <w:color w:val="000000"/>
          <w:sz w:val="24"/>
          <w:szCs w:val="24"/>
        </w:rPr>
        <w:t>Zoom</w:t>
      </w:r>
      <w:r w:rsidR="009F103C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i/>
          <w:color w:val="000000"/>
          <w:sz w:val="24"/>
          <w:szCs w:val="24"/>
        </w:rPr>
        <w:t>Imaging, L.P. v. St. Luke's Hosp. &amp; Health Network</w:t>
      </w:r>
      <w:r w:rsidRPr="002B1A9B">
        <w:rPr>
          <w:rFonts w:ascii="Palatino Linotype" w:hAnsi="Palatino Linotype"/>
          <w:color w:val="000000"/>
          <w:sz w:val="24"/>
          <w:szCs w:val="24"/>
        </w:rPr>
        <w:t>, 513 F. Supp. 2d 411, 417 (E.D. Pa. 2007)</w:t>
      </w:r>
      <w:r w:rsidR="009F103C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>(holding that confidentiality agreements do not preclude disclosure for purposes of discovery.);</w:t>
      </w:r>
      <w:r w:rsidR="009F103C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i/>
          <w:color w:val="000000"/>
          <w:sz w:val="24"/>
          <w:szCs w:val="24"/>
        </w:rPr>
        <w:t>Grumman Aerospace Corp. v. Titanium Metals Corp. of Am</w:t>
      </w:r>
      <w:r w:rsidRPr="002B1A9B">
        <w:rPr>
          <w:rFonts w:ascii="Palatino Linotype" w:hAnsi="Palatino Linotype"/>
          <w:color w:val="000000"/>
          <w:sz w:val="24"/>
          <w:szCs w:val="24"/>
        </w:rPr>
        <w:t>., 91 F.R.D. 84, 87 (E.D.N.Y. 1981)</w:t>
      </w:r>
      <w:r w:rsidR="009F103C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B1A9B">
        <w:rPr>
          <w:rFonts w:ascii="Palatino Linotype" w:hAnsi="Palatino Linotype"/>
          <w:color w:val="000000"/>
          <w:sz w:val="24"/>
          <w:szCs w:val="24"/>
        </w:rPr>
        <w:t>(same).</w:t>
      </w:r>
    </w:p>
    <w:p w14:paraId="54CDB27C" w14:textId="77777777" w:rsidR="006213CC" w:rsidRPr="002B1A9B" w:rsidRDefault="006213CC" w:rsidP="002B1A9B">
      <w:pPr>
        <w:spacing w:line="240" w:lineRule="auto"/>
        <w:rPr>
          <w:rFonts w:ascii="Palatino Linotype" w:hAnsi="Palatino Linotype"/>
          <w:sz w:val="24"/>
          <w:szCs w:val="24"/>
        </w:rPr>
      </w:pPr>
    </w:p>
    <w:sectPr w:rsidR="006213CC" w:rsidRPr="002B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CC"/>
    <w:rsid w:val="001138A2"/>
    <w:rsid w:val="001545ED"/>
    <w:rsid w:val="002023C1"/>
    <w:rsid w:val="002B1A9B"/>
    <w:rsid w:val="006213CC"/>
    <w:rsid w:val="00753635"/>
    <w:rsid w:val="009F103C"/>
    <w:rsid w:val="00D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820D"/>
  <w15:chartTrackingRefBased/>
  <w15:docId w15:val="{D1C1D18B-18D9-49EF-8351-55A539E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3CC"/>
    <w:pPr>
      <w:spacing w:after="0" w:line="50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53635"/>
    <w:pPr>
      <w:keepNext/>
      <w:keepLines/>
      <w:widowControl w:val="0"/>
      <w:spacing w:before="40" w:line="276" w:lineRule="auto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53635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6213CC"/>
    <w:rPr>
      <w:color w:val="0563C1" w:themeColor="hyperlink"/>
      <w:u w:val="single"/>
    </w:rPr>
  </w:style>
  <w:style w:type="character" w:customStyle="1" w:styleId="ssrfcpassagedeactivated">
    <w:name w:val="ss_rfcpassage_deactivated"/>
    <w:basedOn w:val="DefaultParagraphFont"/>
    <w:rsid w:val="006213CC"/>
  </w:style>
  <w:style w:type="character" w:customStyle="1" w:styleId="ssun">
    <w:name w:val="ss_un"/>
    <w:basedOn w:val="DefaultParagraphFont"/>
    <w:rsid w:val="006213CC"/>
  </w:style>
  <w:style w:type="character" w:customStyle="1" w:styleId="sssh">
    <w:name w:val="ss_sh"/>
    <w:basedOn w:val="DefaultParagraphFont"/>
    <w:rsid w:val="006213CC"/>
  </w:style>
  <w:style w:type="paragraph" w:customStyle="1" w:styleId="FirmName">
    <w:name w:val="Firm Name"/>
    <w:basedOn w:val="Normal"/>
    <w:rsid w:val="002B1A9B"/>
    <w:pPr>
      <w:spacing w:line="25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Olson</dc:creator>
  <cp:keywords/>
  <dc:description/>
  <cp:lastModifiedBy>Erin Olson</cp:lastModifiedBy>
  <cp:revision>3</cp:revision>
  <dcterms:created xsi:type="dcterms:W3CDTF">2019-03-15T00:19:00Z</dcterms:created>
  <dcterms:modified xsi:type="dcterms:W3CDTF">2019-03-15T01:49:00Z</dcterms:modified>
</cp:coreProperties>
</file>